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F8980">
      <w:pPr>
        <w:pStyle w:val="31"/>
        <w:keepNext/>
        <w:rPr>
          <w:color w:val="auto"/>
        </w:rPr>
      </w:pPr>
      <w:r>
        <w:rPr>
          <w:rFonts w:ascii="Noto Sans CJK SC" w:hAnsi="Noto Sans CJK SC" w:eastAsia="Noto Sans CJK SC" w:cs="Noto Sans CJK SC"/>
          <w:b w:val="0"/>
          <w:color w:val="auto"/>
          <w:lang w:val="en-GB" w:eastAsia="zh-CN"/>
        </w:rPr>
        <w:t>玉榕社项目参与及服务协议</w:t>
      </w:r>
    </w:p>
    <w:p w14:paraId="53C06F50">
      <w:pPr>
        <w:pStyle w:val="26"/>
        <w:keepNext/>
        <w:rPr>
          <w:rFonts w:ascii="DejaVu Sans" w:hAnsi="DejaVu Sans" w:eastAsia="Noto Sans CJK SC" w:cs="DejaVu Sans"/>
          <w:b w:val="0"/>
          <w:color w:val="auto"/>
          <w:lang w:val="en-GB" w:eastAsia="zh-CN"/>
        </w:rPr>
      </w:pPr>
      <w:r>
        <w:rPr>
          <w:rFonts w:ascii="DejaVu Sans" w:hAnsi="DejaVu Sans" w:eastAsia="Noto Sans CJK SC" w:cs="DejaVu Sans"/>
          <w:b w:val="0"/>
          <w:color w:val="auto"/>
          <w:lang w:val="en-GB" w:eastAsia="zh-CN"/>
        </w:rPr>
        <w:t>The Jade Banyan Society Programme Participation Agreement</w:t>
      </w:r>
    </w:p>
    <w:p w14:paraId="61F11896">
      <w:pPr>
        <w:keepNext/>
      </w:pPr>
      <w:r>
        <w:rPr>
          <w:rFonts w:ascii="Noto Sans CJK SC" w:hAnsi="Noto Sans CJK SC" w:eastAsia="Noto Sans CJK SC" w:cs="Noto Sans CJK SC"/>
          <w:b w:val="0"/>
          <w:color w:val="000000"/>
          <w:lang w:val="en-GB" w:eastAsia="zh-CN"/>
        </w:rPr>
        <w:t xml:space="preserve">中英文逐条对应  </w:t>
      </w:r>
      <w:bookmarkStart w:id="0" w:name="_GoBack"/>
      <w:r>
        <w:rPr>
          <w:rFonts w:ascii="Noto Sans CJK SC" w:hAnsi="Noto Sans CJK SC" w:eastAsia="Noto Sans CJK SC" w:cs="Noto Sans CJK SC"/>
          <w:b w:val="0"/>
          <w:color w:val="000000"/>
          <w:lang w:val="en-GB" w:eastAsia="zh-CN"/>
        </w:rPr>
        <w:t xml:space="preserve"> Bilingual clause pairs </w:t>
      </w:r>
      <w:bookmarkEnd w:id="0"/>
      <w:r>
        <w:rPr>
          <w:rFonts w:ascii="Noto Sans CJK SC" w:hAnsi="Noto Sans CJK SC" w:eastAsia="Noto Sans CJK SC" w:cs="Noto Sans CJK SC"/>
          <w:b w:val="0"/>
          <w:color w:val="000000"/>
          <w:lang w:val="en-GB" w:eastAsia="zh-CN"/>
        </w:rPr>
        <w:t xml:space="preserve">  v0.</w:t>
      </w:r>
      <w:r>
        <w:rPr>
          <w:rFonts w:hint="eastAsia" w:ascii="Noto Sans CJK SC" w:hAnsi="Noto Sans CJK SC" w:cs="Noto Sans CJK SC"/>
          <w:b w:val="0"/>
          <w:color w:val="000000"/>
          <w:lang w:val="en-US" w:eastAsia="zh-CN"/>
        </w:rPr>
        <w:t>3</w:t>
      </w:r>
      <w:r>
        <w:rPr>
          <w:rFonts w:ascii="Noto Sans CJK SC" w:hAnsi="Noto Sans CJK SC" w:eastAsia="Noto Sans CJK SC" w:cs="Noto Sans CJK SC"/>
          <w:b w:val="0"/>
          <w:color w:val="000000"/>
          <w:lang w:val="en-GB" w:eastAsia="zh-CN"/>
        </w:rPr>
        <w:t xml:space="preserve">   2026年10月1</w:t>
      </w:r>
      <w:r>
        <w:rPr>
          <w:rFonts w:hint="eastAsia" w:ascii="Noto Sans CJK SC" w:hAnsi="Noto Sans CJK SC" w:cs="Noto Sans CJK SC"/>
          <w:b w:val="0"/>
          <w:color w:val="000000"/>
          <w:lang w:val="en-US" w:eastAsia="zh-CN"/>
        </w:rPr>
        <w:t>2</w:t>
      </w:r>
      <w:r>
        <w:rPr>
          <w:rFonts w:ascii="Noto Sans CJK SC" w:hAnsi="Noto Sans CJK SC" w:eastAsia="Noto Sans CJK SC" w:cs="Noto Sans CJK SC"/>
          <w:b w:val="0"/>
          <w:color w:val="000000"/>
          <w:lang w:val="en-GB" w:eastAsia="zh-CN"/>
        </w:rPr>
        <w:t>日</w:t>
      </w:r>
    </w:p>
    <w:p w14:paraId="393849B6">
      <w:pPr>
        <w:keepNext/>
        <w:spacing w:after="60"/>
        <w:rPr>
          <w:color w:val="auto"/>
        </w:rPr>
      </w:pPr>
      <w:r>
        <w:rPr>
          <w:rFonts w:ascii="Noto Sans CJK SC" w:hAnsi="Noto Sans CJK SC" w:eastAsia="Noto Sans CJK SC" w:cs="Noto Sans CJK SC"/>
          <w:b w:val="0"/>
          <w:color w:val="auto"/>
          <w:lang w:val="en-GB" w:eastAsia="zh-CN"/>
        </w:rPr>
        <w:t>本协议就海南闪电归来教育科技有限公司向成员提供玉榕社十天九晚寄宿项目的服务、付款、参与规则、取消退款及责任承担等事项作出约定。附表 A 用于在录取及后续筹备阶段载明对应成员的交易资料和运营安排，附表 B 至 D 用于记录收款、文件交付及签署情况。</w:t>
      </w:r>
    </w:p>
    <w:p w14:paraId="14B95572">
      <w:pPr>
        <w:keepNext w:val="0"/>
        <w:rPr>
          <w:color w:val="auto"/>
        </w:rPr>
      </w:pPr>
      <w:r>
        <w:rPr>
          <w:rFonts w:ascii="DejaVu Sans" w:hAnsi="DejaVu Sans" w:eastAsia="Noto Sans CJK SC" w:cs="DejaVu Sans"/>
          <w:b w:val="0"/>
          <w:color w:val="auto"/>
          <w:lang w:val="en-GB" w:eastAsia="zh-CN"/>
        </w:rPr>
        <w:t>This Agreement sets out arrangements between Hainan Keraunos Education Technology Co., Ltd. and the Member for services, payment, participation rules, cancellation, refunds and responsibility in the Society’s ten-day, nine-night residential programme. Schedule A records Member-specific booking details at the offer stage and subsequent operational arrangements; Schedules B–D record payment instructions, document delivery and signing.</w:t>
      </w:r>
    </w:p>
    <w:p w14:paraId="7A406B0C">
      <w:pPr>
        <w:pStyle w:val="3"/>
        <w:keepNext/>
        <w:rPr>
          <w:color w:val="auto"/>
        </w:rPr>
      </w:pPr>
      <w:r>
        <w:rPr>
          <w:rFonts w:ascii="Noto Sans CJK SC" w:hAnsi="Noto Sans CJK SC" w:eastAsia="Noto Sans CJK SC" w:cs="Noto Sans CJK SC"/>
          <w:b w:val="0"/>
          <w:color w:val="auto"/>
          <w:lang w:val="en-GB" w:eastAsia="zh-CN"/>
        </w:rPr>
        <w:t>1 签约主体与合同成立</w:t>
      </w:r>
    </w:p>
    <w:p w14:paraId="3BC68DDA">
      <w:pPr>
        <w:pStyle w:val="4"/>
        <w:keepNext/>
        <w:spacing w:before="0"/>
        <w:rPr>
          <w:color w:val="auto"/>
        </w:rPr>
      </w:pPr>
      <w:r>
        <w:rPr>
          <w:rFonts w:ascii="DejaVu Sans" w:hAnsi="DejaVu Sans" w:eastAsia="Noto Sans CJK SC" w:cs="DejaVu Sans"/>
          <w:b w:val="0"/>
          <w:color w:val="auto"/>
          <w:lang w:val="en-GB" w:eastAsia="zh-CN"/>
        </w:rPr>
        <w:t>Parties and formation</w:t>
      </w:r>
    </w:p>
    <w:p w14:paraId="2A2B9719">
      <w:pPr>
        <w:keepNext/>
        <w:rPr>
          <w:color w:val="auto"/>
        </w:rPr>
      </w:pPr>
      <w:r>
        <w:rPr>
          <w:color w:val="auto"/>
        </w:rPr>
        <w:t>1.1 甲方为海南闪电归来教育科技有限公司，英文名称为 Hainan Keraunos Education Technology Co., Ltd.，以 The Jade Banyan Society／玉榕社品牌开展本项目。统一社会信用代码：91460000MA5U1QD024。注册地址：海南省海口市美兰区人民街道美丽沙路6号海口美丽沙0602地块1号楼606。法定代表人：张艺馨。签署人为甲方法定代表人或者其授权代表。甲方为本协议项下服务的提供主体及项目费用的收款主体。</w:t>
      </w:r>
    </w:p>
    <w:p w14:paraId="1153F3EE">
      <w:pPr>
        <w:keepNext w:val="0"/>
        <w:rPr>
          <w:color w:val="auto"/>
        </w:rPr>
      </w:pPr>
      <w:r>
        <w:rPr>
          <w:rFonts w:ascii="Noto Sans CJK SC" w:hAnsi="Noto Sans CJK SC" w:eastAsia="Noto Sans CJK SC" w:cs="Noto Sans CJK SC"/>
          <w:b w:val="0"/>
          <w:color w:val="auto"/>
          <w:lang w:val="en-GB" w:eastAsia="zh-CN"/>
        </w:rPr>
        <w:t>1.1 The Provider is 海南闪电归来教育科技有限公司, using the English name Hainan Keraunos Education Technology Co., Ltd. and operating this programme under The Jade Banyan Society brand. Unified Social Credit Code: 91460000MA5U1QD024. Registered address: Room 606, Building 1, Haikou Meilisha (Plot 0602), No. 6 Meilisha Road, Renmin Subdistrict, Meilan District, Haikou, Hainan Province, China. Legal representative: 张艺馨. This Agreement is signed by the Provider’s legal representative or its authorised representative. The Provider provides the services under this Agreement and receives the programme fees.</w:t>
      </w:r>
    </w:p>
    <w:p w14:paraId="038B63F9">
      <w:pPr>
        <w:keepNext/>
        <w:rPr>
          <w:color w:val="auto"/>
        </w:rPr>
      </w:pPr>
      <w:r>
        <w:rPr>
          <w:color w:val="auto"/>
        </w:rPr>
        <w:t>1.2 乙方为附表 A 中列明的成员。成员须于所参加期次首日已满十五周岁且未满二十周岁。签署时未满十八周岁的成员，由其经核验的法定监护人以法定代理人身份办理签约，并由成员本人作书面确认；已满十八周岁的成员由本人签约。监护人的身份、权限及国际成员适用的代理要求由甲方依法核验。监护人代理签署并不因此构成对甲方的一般保证或者无限额赔偿承诺。</w:t>
      </w:r>
    </w:p>
    <w:p w14:paraId="7B590AF3">
      <w:pPr>
        <w:keepNext w:val="0"/>
        <w:rPr>
          <w:color w:val="auto"/>
        </w:rPr>
      </w:pPr>
      <w:r>
        <w:rPr>
          <w:rFonts w:ascii="DejaVu Sans" w:hAnsi="DejaVu Sans" w:eastAsia="Noto Sans CJK SC" w:cs="DejaVu Sans"/>
          <w:b w:val="0"/>
          <w:color w:val="auto"/>
          <w:lang w:val="en-GB" w:eastAsia="zh-CN"/>
        </w:rPr>
        <w:t>1.2 The Member is the individual named in Schedule A and must have reached fifteen and not yet reached twenty on the first day of their cohort. A Member under eighteen at signing acts through a verified legal guardian as legal representative and also gives a written acknowledgement. A Member aged eighteen or over signs personally. Guardian identity, authority and applicable representation requirements for international Members are verified by the Provider under applicable law. Signing as representative does not of itself create a general guarantee or unlimited indemnity in favour of the Provider.</w:t>
      </w:r>
    </w:p>
    <w:p w14:paraId="3738C28C">
      <w:pPr>
        <w:keepNext/>
        <w:rPr>
          <w:color w:val="auto"/>
        </w:rPr>
      </w:pPr>
      <w:r>
        <w:rPr>
          <w:color w:val="auto"/>
        </w:rPr>
        <w:t>1.3 本协议在双方完成有效签署时成立并生效，依法另有规定的除外。本协议模板的公布、预报名、发出录取通知、本协议成立、名额确认与开营确认，分属不同环节。录取本身不构成付费名额确认；付费名额由甲方按第 3 条确认；玉榕奖名额由甲方按资助录取接受流程确认。甲方不得表示尚未书面确认的开营或者运营安排已经落实。</w:t>
      </w:r>
    </w:p>
    <w:p w14:paraId="027D15C1">
      <w:pPr>
        <w:keepNext w:val="0"/>
        <w:rPr>
          <w:color w:val="auto"/>
        </w:rPr>
      </w:pPr>
      <w:r>
        <w:rPr>
          <w:rFonts w:ascii="DejaVu Sans" w:hAnsi="DejaVu Sans" w:eastAsia="Noto Sans CJK SC" w:cs="DejaVu Sans"/>
          <w:b w:val="0"/>
          <w:color w:val="auto"/>
          <w:lang w:val="en-GB" w:eastAsia="zh-CN"/>
        </w:rPr>
        <w:t>1.3 This Agreement is formed and takes effect when both parties validly sign, except as otherwise required by law. Publication of this template, registration of interest, the issue of an offer, formation of this Agreement, place confirmation and confirmation of cohort operation are distinct stages. An offer alone does not confirm a paid place. Paid places are confirmed under clause 3; Jade Banyan Fellowship places follow the fellowship acceptance process. The Provider must not represent cohort operation or operational arrangements not yet confirmed in writing as secured.</w:t>
      </w:r>
    </w:p>
    <w:p w14:paraId="2CF3623C">
      <w:pPr>
        <w:keepNext/>
        <w:spacing w:after="60"/>
        <w:rPr>
          <w:color w:val="auto"/>
        </w:rPr>
      </w:pPr>
      <w:r>
        <w:rPr>
          <w:color w:val="auto"/>
        </w:rPr>
        <w:t>1.4 甲方通过预报名阶段接收申请材料，并评估报名情况是否达到开营条件。甲方不收取申请费或者定金，且预报名不构成对本期项目开展的保证。</w:t>
      </w:r>
    </w:p>
    <w:p w14:paraId="1424E6E1">
      <w:pPr>
        <w:keepNext/>
        <w:spacing w:after="60"/>
        <w:rPr>
          <w:color w:val="auto"/>
        </w:rPr>
      </w:pPr>
      <w:r>
        <w:rPr>
          <w:color w:val="auto"/>
        </w:rPr>
        <w:t>1.5 发出付费录取及启动付款期前，甲方须在附表 A 中明确成员、本期日期及开始时刻、交易币种、价款、核心服务范围、付款和名额保护期限、开营确认状态或者最迟确认日期、退款发起期限等事项；甲方并须先交付保险要求，供成员及未成年成员的监护人单独确认。在该阶段交易信息确认完成前，乙方不负有付款义务。</w:t>
      </w:r>
    </w:p>
    <w:p w14:paraId="275753CA">
      <w:pPr>
        <w:keepNext/>
        <w:spacing w:after="60"/>
        <w:rPr>
          <w:color w:val="auto"/>
        </w:rPr>
      </w:pPr>
      <w:r>
        <w:rPr>
          <w:color w:val="auto"/>
        </w:rPr>
        <w:t>1.6 甲方未在约定最迟日期确认开营的，乙方可以书面选择继续等待或者取消；选择取消的，甲方全额退还已付项目费，不计取消费用。甲方明确决定不开展本期的，应当至迟于附表 A 载明的最迟确认日期书面通知乙方，已付项目费按第 10.4 条全额退还。</w:t>
      </w:r>
    </w:p>
    <w:p w14:paraId="7E6D8CC7">
      <w:pPr>
        <w:keepNext w:val="0"/>
        <w:rPr>
          <w:b w:val="0"/>
          <w:bCs/>
          <w:color w:val="auto"/>
        </w:rPr>
      </w:pPr>
      <w:r>
        <w:rPr>
          <w:rFonts w:ascii="DejaVu Sans" w:hAnsi="DejaVu Sans" w:eastAsia="Noto Sans CJK SC" w:cs="DejaVu Sans"/>
          <w:b w:val="0"/>
          <w:bCs/>
          <w:color w:val="auto"/>
          <w:lang w:val="en-GB" w:eastAsia="zh-CN"/>
        </w:rPr>
        <w:t>1.4 Registration of interest receives application materials and informs assessment of whether registrations support cohort operation. It carries no application fee or deposit and does not guarantee that this cohort will operate.</w:t>
      </w:r>
    </w:p>
    <w:p w14:paraId="4EC261A9">
      <w:pPr>
        <w:keepNext w:val="0"/>
        <w:rPr>
          <w:color w:val="auto"/>
        </w:rPr>
      </w:pPr>
      <w:r>
        <w:rPr>
          <w:color w:val="auto"/>
        </w:rPr>
        <w:t>1.5 Before a paid offer and payment window begin, Schedule A must identify the Member, cohort dates and commencement time, currency, price, core service scope, payment and place-protection deadlines, cohort-operation status or latest confirmation date, and refund-initiation deadline; the Provider must also supply the Insurance Requirements for separate acknowledgement. No payment obligation arises before those transaction details are confirmed.</w:t>
      </w:r>
    </w:p>
    <w:p w14:paraId="27534F48">
      <w:pPr>
        <w:keepNext w:val="0"/>
        <w:rPr>
          <w:color w:val="auto"/>
        </w:rPr>
      </w:pPr>
      <w:r>
        <w:rPr>
          <w:color w:val="auto"/>
        </w:rPr>
        <w:t>1.6 If the Provider does not confirm cohort operation by the agreed latest date, the Member may choose in writing to wait or to cancel; on cancellation the Provider refunds the programme fee paid in full and charges no cancellation fee. Where the Provider decides not to operate the cohort, it must notify the Member in writing by the latest confirmation date stated in Schedule A and refund the programme fee paid in full under clause 10.4.</w:t>
      </w:r>
    </w:p>
    <w:p w14:paraId="27B42C72">
      <w:pPr>
        <w:keepNext w:val="0"/>
        <w:rPr>
          <w:color w:val="auto"/>
        </w:rPr>
      </w:pPr>
      <w:r>
        <w:rPr>
          <w:color w:val="auto"/>
        </w:rPr>
        <w:t>1.7 成员及未成年成员的监护人向甲方陈述并保证：申请材料及所提供的信息真实、准确、完整；成员提供的健康、用药及活动资格信息真实、完整；成员具备参加本项目所需的身体条件。成员及未成年成员的监护人故意或者重大过失隐瞒、虚报重大信息的，甲方可以解除本协议，并依法追究相应责任。</w:t>
      </w:r>
    </w:p>
    <w:p w14:paraId="5C74BFC8">
      <w:pPr>
        <w:keepNext w:val="0"/>
        <w:rPr>
          <w:color w:val="auto"/>
        </w:rPr>
      </w:pPr>
      <w:r>
        <w:rPr>
          <w:color w:val="auto"/>
        </w:rPr>
        <w:t>1.7 The Member and, for a minor, the guardian represent and warrant to the Provider that: the application materials and the information provided are true, accurate and complete; the health, medication and activity-eligibility information provided by the Member is true and complete; and the Member is physically fit to take part in the programme. If the Member or, for a minor, the guardian conceals or misrepresents material information intentionally or with gross negligence, the Provider may terminate this Agreement and pursue the corresponding liability under law.</w:t>
      </w:r>
    </w:p>
    <w:p w14:paraId="7E05655E">
      <w:pPr>
        <w:pStyle w:val="3"/>
        <w:keepNext/>
        <w:rPr>
          <w:color w:val="auto"/>
        </w:rPr>
      </w:pPr>
      <w:r>
        <w:rPr>
          <w:rFonts w:ascii="Noto Sans CJK SC" w:hAnsi="Noto Sans CJK SC" w:eastAsia="Noto Sans CJK SC" w:cs="Noto Sans CJK SC"/>
          <w:b w:val="0"/>
          <w:color w:val="auto"/>
          <w:lang w:val="en-GB" w:eastAsia="zh-CN"/>
        </w:rPr>
        <w:t>2 项目内容与服务范围</w:t>
      </w:r>
    </w:p>
    <w:p w14:paraId="030B30FE">
      <w:pPr>
        <w:pStyle w:val="4"/>
        <w:keepNext/>
        <w:spacing w:before="0"/>
        <w:rPr>
          <w:color w:val="auto"/>
        </w:rPr>
      </w:pPr>
      <w:r>
        <w:rPr>
          <w:rFonts w:ascii="DejaVu Sans" w:hAnsi="DejaVu Sans" w:eastAsia="Noto Sans CJK SC" w:cs="DejaVu Sans"/>
          <w:b w:val="0"/>
          <w:color w:val="auto"/>
          <w:lang w:val="en-GB" w:eastAsia="zh-CN"/>
        </w:rPr>
        <w:t>Programme and services</w:t>
      </w:r>
    </w:p>
    <w:p w14:paraId="38C54CDB">
      <w:pPr>
        <w:keepNext/>
        <w:rPr>
          <w:color w:val="auto"/>
        </w:rPr>
      </w:pPr>
      <w:r>
        <w:rPr>
          <w:color w:val="auto"/>
        </w:rPr>
        <w:t>2.1 本项目为在中国海南举行的十天九晚国际寄宿项目，围绕共同生活、每日高尔夫教学、可选择的午后活动、Banyan Lab 共创项目及结营团队活动展开。英语为共同语言，成员亦可使用其他语言。每期已确认名额与保留名额合计不超过 18 人；该上限并非最低开营人数。甲方根据报名及实际筹备情况决定是否开营，并按第 1.5 条、第 1.6 条书面确认。</w:t>
      </w:r>
    </w:p>
    <w:p w14:paraId="56C9E6E7">
      <w:pPr>
        <w:keepNext w:val="0"/>
        <w:rPr>
          <w:color w:val="auto"/>
        </w:rPr>
      </w:pPr>
      <w:r>
        <w:rPr>
          <w:rFonts w:ascii="DejaVu Sans" w:hAnsi="DejaVu Sans" w:eastAsia="Noto Sans CJK SC" w:cs="DejaVu Sans"/>
          <w:b w:val="0"/>
          <w:color w:val="auto"/>
          <w:lang w:val="en-GB" w:eastAsia="zh-CN"/>
        </w:rPr>
        <w:t>2.1 This programme is a ten-day, nine-night international residential programme in Hainan, China, built around shared residential life, daily golf instruction, optional afternoon activities, the Banyan Lab co-creation project and a closing team event. English is the shared language; Members may also use other languages. Confirmed and protected places together may not exceed eighteen per cohort. This cap is not an established minimum operating number. The Provider assesses registrations and actual preparation and confirms cohort operation in writing under clauses 1.5 and 1.6.</w:t>
      </w:r>
    </w:p>
    <w:p w14:paraId="246EFB1F">
      <w:pPr>
        <w:keepNext/>
        <w:rPr>
          <w:color w:val="auto"/>
        </w:rPr>
      </w:pPr>
      <w:r>
        <w:rPr>
          <w:color w:val="auto"/>
        </w:rPr>
        <w:t>2.2 项目费用包含九晚住宿、餐食、项目活动、项目期间交通，以及公布时段内往返三亚凤凰国际机场的标准接送服务。下列费用不包含在项目费用内：前往三亚的国内或者国际机票、护照及签证费用、成员自行投保的保险、项目之外的独立旅行、额外住宿以及个人消费。甲方应在收款前提供本期服务范围及实质标准，确认高尔夫教学、必要器材和已安排活动的费用范围；具体场所、服务方及运营细节可按第 2.4 条后续确定。甲方应合理照看成员、提供安全指示，并对实际服务方开展必要审核。项目费用为含税总价。</w:t>
      </w:r>
    </w:p>
    <w:p w14:paraId="09B503A8">
      <w:pPr>
        <w:keepNext w:val="0"/>
        <w:rPr>
          <w:color w:val="auto"/>
        </w:rPr>
      </w:pPr>
      <w:r>
        <w:rPr>
          <w:rFonts w:ascii="DejaVu Sans" w:hAnsi="DejaVu Sans" w:eastAsia="Noto Sans CJK SC" w:cs="DejaVu Sans"/>
          <w:b w:val="0"/>
          <w:color w:val="auto"/>
          <w:lang w:val="en-GB" w:eastAsia="zh-CN"/>
        </w:rPr>
        <w:t>2.2 The programme fee includes nine nights of accommodation, meals, programme activities, programme transport and standard transfers to and from Sanya Phoenix International Airport during the published window. It excludes the following: domestic or international airfare to Sanya, passport and visa costs, insurance arranged by the Member, independent travel outside the programme, additional accommodation and personal spending. Before collecting payment, the Provider supplies the cohort service scope and substantive standards and confirms the cost scope for golf instruction, necessary equipment and scheduled activities. Specific venues, providers and operational details may be settled later under clause 2.4. The Provider must exercise reasonable care for Members, give safety instructions and carry out the necessary review of actual providers. The programme fee is a tax-inclusive total price.</w:t>
      </w:r>
    </w:p>
    <w:p w14:paraId="349D679B">
      <w:pPr>
        <w:keepNext/>
        <w:rPr>
          <w:color w:val="auto"/>
        </w:rPr>
      </w:pPr>
      <w:r>
        <w:rPr>
          <w:color w:val="auto"/>
        </w:rPr>
        <w:t>2.3 可选活动的实际安排取决于本期开展情况、天气、兴趣、安全、成员资格和服务方可用情况。实际服务方可在本期确认开展后选定，但甲方须在活动安排前完成必要审核。列举活动示例，并不表示甲方承诺提供其中的每一项活动；本款不影响附表 A 明确保证的核心服务及第 9 条项下的重大变更权利。</w:t>
      </w:r>
    </w:p>
    <w:p w14:paraId="003EE8F8">
      <w:pPr>
        <w:keepNext w:val="0"/>
        <w:rPr>
          <w:color w:val="auto"/>
        </w:rPr>
      </w:pPr>
      <w:r>
        <w:rPr>
          <w:rFonts w:ascii="DejaVu Sans" w:hAnsi="DejaVu Sans" w:eastAsia="Noto Sans CJK SC" w:cs="DejaVu Sans"/>
          <w:b w:val="0"/>
          <w:color w:val="auto"/>
          <w:lang w:val="en-GB" w:eastAsia="zh-CN"/>
        </w:rPr>
        <w:t>2.3 Optional activities depend on cohort operation, weather, interest, safety, Member eligibility and provider availability. Actual providers may be selected after the cohort is confirmed to operate, but the Provider must complete the necessary review before scheduling. Examples of activities do not constitute a promise that every activity will be provided. This does not affect core services expressly guaranteed in Schedule A or the rights concerning material changes in clause 9.</w:t>
      </w:r>
    </w:p>
    <w:p w14:paraId="021F589C">
      <w:pPr>
        <w:keepNext/>
        <w:spacing w:after="60"/>
        <w:rPr>
          <w:color w:val="auto"/>
        </w:rPr>
      </w:pPr>
      <w:r>
        <w:rPr>
          <w:color w:val="auto"/>
        </w:rPr>
        <w:t>2.4 具体供应商、住宿场所及房间安排、教练、活动清单、交接人员、紧急联络渠道和设备方案，甲方可以在报名达到其评估的开营条件且项目正式启动后确定。上述事项不要求在预报名阶段即已确定。甲方至迟于出发前十四日向成员及未成年成员的监护人提供书面开营及行前安排；甲方须在相应服务或者处理开始前完成各项资格、安全、保险及必要信息处理手续。甲方不得以后续确定为由缩减已约定的核心服务或者增加未约定的收费；重大变更适用第 9 条。</w:t>
      </w:r>
    </w:p>
    <w:p w14:paraId="54FF26A2">
      <w:pPr>
        <w:keepNext w:val="0"/>
        <w:rPr>
          <w:color w:val="auto"/>
        </w:rPr>
      </w:pPr>
      <w:r>
        <w:rPr>
          <w:rFonts w:ascii="DejaVu Sans" w:hAnsi="DejaVu Sans" w:eastAsia="Noto Sans CJK SC" w:cs="DejaVu Sans"/>
          <w:b w:val="0"/>
          <w:color w:val="auto"/>
          <w:lang w:val="en-GB" w:eastAsia="zh-CN"/>
        </w:rPr>
        <w:t>2.4 Specific suppliers, accommodation and rooming, instructors, activity lists, handover personnel, urgent-contact routes and device arrangements may be settled after the Provider assesses that registration supports activation and the project formally starts. They need not be secured at registration of interest. No later than fourteen days before departure, the Provider supplies written cohort-operation and pre-departure arrangements to the Member and, for a minor, to the guardian. Applicable qualification, safety, insurance and information-processing steps must precede the relevant service or processing. Later details cannot arbitrarily reduce agreed core services or add unagreed charges; material changes follow clause 9.</w:t>
      </w:r>
    </w:p>
    <w:p w14:paraId="71435D72">
      <w:pPr>
        <w:pStyle w:val="3"/>
        <w:keepNext/>
        <w:rPr>
          <w:color w:val="auto"/>
        </w:rPr>
      </w:pPr>
      <w:r>
        <w:rPr>
          <w:rFonts w:ascii="Noto Sans CJK SC" w:hAnsi="Noto Sans CJK SC" w:eastAsia="Noto Sans CJK SC" w:cs="Noto Sans CJK SC"/>
          <w:b w:val="0"/>
          <w:color w:val="auto"/>
          <w:lang w:val="en-GB" w:eastAsia="zh-CN"/>
        </w:rPr>
        <w:t>3 费用、付款与名额确认</w:t>
      </w:r>
    </w:p>
    <w:p w14:paraId="14DED1C3">
      <w:pPr>
        <w:pStyle w:val="4"/>
        <w:keepNext/>
        <w:spacing w:before="0"/>
        <w:rPr>
          <w:color w:val="auto"/>
        </w:rPr>
      </w:pPr>
      <w:r>
        <w:rPr>
          <w:rFonts w:ascii="DejaVu Sans" w:hAnsi="DejaVu Sans" w:eastAsia="Noto Sans CJK SC" w:cs="DejaVu Sans"/>
          <w:b w:val="0"/>
          <w:color w:val="auto"/>
          <w:lang w:val="en-GB" w:eastAsia="zh-CN"/>
        </w:rPr>
        <w:t>Fees, payment and place confirmation</w:t>
      </w:r>
    </w:p>
    <w:p w14:paraId="32BA3A31">
      <w:pPr>
        <w:keepNext/>
        <w:rPr>
          <w:color w:val="auto"/>
        </w:rPr>
      </w:pPr>
      <w:r>
        <w:rPr>
          <w:color w:val="auto"/>
        </w:rPr>
        <w:t>3.1 标准项目费用为 US$15,000 或 RMB 100,000</w:t>
      </w:r>
      <w:r>
        <w:rPr>
          <w:color w:val="auto"/>
          <w:lang w:val="en-US" w:eastAsia="zh-CN"/>
        </w:rPr>
        <w:t>，</w:t>
      </w:r>
      <w:r>
        <w:rPr>
          <w:rFonts w:hint="default"/>
          <w:color w:val="auto"/>
          <w:lang w:val="en-US" w:eastAsia="zh-CN"/>
        </w:rPr>
        <w:t>交易币种由成员及未成年成员的监护人选定</w:t>
      </w:r>
      <w:r>
        <w:rPr>
          <w:color w:val="auto"/>
        </w:rPr>
        <w:t>；两种报价相互独立，不按固定汇率换算。甲方不收取申请费或者定金。付费录取以附表 A 的币种、应付金额及截止日期为准；一般付款期为录取后七个自然日，具体以录取文件载明的起止日期和时刻为准。玉榕奖由甲方按书面资助录取办理，全额项目费资助名额应付金额为零，无需办理付款手续。甲方不得同时要求成员向两个账户付款。境外付款的，交易币种为美元。</w:t>
      </w:r>
    </w:p>
    <w:p w14:paraId="39F67B1D">
      <w:pPr>
        <w:keepNext w:val="0"/>
        <w:rPr>
          <w:b w:val="0"/>
          <w:bCs/>
          <w:color w:val="auto"/>
        </w:rPr>
      </w:pPr>
      <w:r>
        <w:rPr>
          <w:rFonts w:ascii="DejaVu Sans" w:hAnsi="DejaVu Sans" w:eastAsia="Noto Sans CJK SC" w:cs="DejaVu Sans"/>
          <w:b w:val="0"/>
          <w:bCs/>
          <w:color w:val="auto"/>
          <w:lang w:val="en-GB" w:eastAsia="zh-CN"/>
        </w:rPr>
        <w:t xml:space="preserve">3.1 The standard programme fee is US$15,000 or RMB 100,000, </w:t>
      </w:r>
      <w:r>
        <w:rPr>
          <w:rFonts w:hint="default" w:ascii="DejaVu Sans" w:hAnsi="DejaVu Sans" w:eastAsia="Noto Sans CJK SC" w:cs="DejaVu Sans"/>
          <w:b w:val="0"/>
          <w:bCs/>
          <w:color w:val="auto"/>
          <w:lang w:val="en-GB" w:eastAsia="zh-CN"/>
        </w:rPr>
        <w:t>the booking currency is selected by the Member or, for a minor, the guardian.</w:t>
      </w:r>
      <w:r>
        <w:rPr>
          <w:rFonts w:ascii="DejaVu Sans" w:hAnsi="DejaVu Sans" w:eastAsia="Noto Sans CJK SC" w:cs="DejaVu Sans"/>
          <w:b w:val="0"/>
          <w:bCs/>
          <w:color w:val="auto"/>
          <w:lang w:val="en-GB" w:eastAsia="zh-CN"/>
        </w:rPr>
        <w:t xml:space="preserve"> These are independent prices rather than amounts exchanged at a fixed rate. There is no application fee or deposit. A paid offer uses the currency, amount payable and deadline in Schedule A. The ordinary payment window is seven calendar days after the offer, with exact start and deadline times stated in the offer documents. A Jade Banyan Fellowship follows its written offer; a fully funded place owes no programme fee and requires no payment. The Provider must not require the Member to pay into both accounts at the same time. Where payment is made from outside mainland China, the booking currency is USD.</w:t>
      </w:r>
    </w:p>
    <w:p w14:paraId="61CE9481">
      <w:pPr>
        <w:keepNext/>
        <w:rPr>
          <w:color w:val="auto"/>
        </w:rPr>
      </w:pPr>
      <w:r>
        <w:rPr>
          <w:color w:val="auto"/>
        </w:rPr>
        <w:t>3.2 付费名额仅在全额应付项目费用已实际到账、并经甲方授权人员核实后确认。甲方应发送书面名额确认并依照适用法律、行政法规的规定提供收款凭证及发票。付款凭证或者银行的汇出状态，本身不足以证明款项已到账并经核实。甲方须在附表 A 中明确玉榕奖名额的资助及应付金额；全额资助名额无需办理付款手续。</w:t>
      </w:r>
    </w:p>
    <w:p w14:paraId="77631BDD">
      <w:pPr>
        <w:keepNext w:val="0"/>
        <w:rPr>
          <w:color w:val="auto"/>
        </w:rPr>
      </w:pPr>
      <w:r>
        <w:rPr>
          <w:rFonts w:ascii="DejaVu Sans" w:hAnsi="DejaVu Sans" w:eastAsia="Noto Sans CJK SC" w:cs="DejaVu Sans"/>
          <w:b w:val="0"/>
          <w:color w:val="auto"/>
          <w:lang w:val="en-GB" w:eastAsia="zh-CN"/>
        </w:rPr>
        <w:t>3.2 A paid place is confirmed only when the full amount payable has actually been received in the designated company account and is verified by authorised Provider staff. The Provider must issue written place confirmation and provide payment evidence and an invoice in accordance with applicable laws and administrative regulations. A remittance receipt or bank sending status alone is not verification of receipt. Fellowship funding and any amount payable must be specified in Schedule A; a fully funded place requires no payment formalities.</w:t>
      </w:r>
    </w:p>
    <w:p w14:paraId="7D4FC234">
      <w:pPr>
        <w:keepNext/>
        <w:rPr>
          <w:color w:val="auto"/>
        </w:rPr>
      </w:pPr>
      <w:r>
        <w:rPr>
          <w:color w:val="auto"/>
        </w:rPr>
        <w:t>3.3 成员应当将汇款支付至附表 B 中与约定币种对应的公司账户，汇款附言应当包含录取／合同参考号，并可补充成员姓名。</w:t>
      </w:r>
      <w:r>
        <w:rPr>
          <w:color w:val="auto"/>
          <w:lang w:val="en-US" w:eastAsia="zh-CN"/>
        </w:rPr>
        <w:t>美元汇款应当选择 OUR 或者其他由汇款人承担手续费的方式，</w:t>
      </w:r>
      <w:r>
        <w:rPr>
          <w:color w:val="auto"/>
        </w:rPr>
        <w:t>确保净到账 US$15,000 或附表 A 载明的全额应付金额；人民币按附表 A 足额转账。甲方应在收款前说明手续费安排，不得事后任意加价。甲方不接受个人账户收款、分期付款或者未书面约定的额外收费。</w:t>
      </w:r>
    </w:p>
    <w:p w14:paraId="1220F0BF">
      <w:pPr>
        <w:keepNext w:val="0"/>
        <w:rPr>
          <w:color w:val="auto"/>
        </w:rPr>
      </w:pPr>
      <w:r>
        <w:rPr>
          <w:rFonts w:ascii="DejaVu Sans" w:hAnsi="DejaVu Sans" w:eastAsia="Noto Sans CJK SC" w:cs="DejaVu Sans"/>
          <w:b w:val="0"/>
          <w:color w:val="auto"/>
          <w:lang w:val="en-GB" w:eastAsia="zh-CN"/>
        </w:rPr>
        <w:t>3.3 The Member’s remittance must use the company account in Schedule B corresponding to the agreed currency. Include the offer or contract reference and, where helpful, the Member name. For USD, choose OUR or another sender-pays option, so that the full net amount of US$15,000, or the amount payable stated in Schedule A, is received. For RMB, transfer the full Schedule A amount. The Provider discloses bank-charge arrangements before payment and must not arbitrarily increase the price afterwards. Personal-account collection, instalments and additional charges not agreed in writing are outside these arrangements.</w:t>
      </w:r>
    </w:p>
    <w:p w14:paraId="30ADF8B8">
      <w:pPr>
        <w:keepNext/>
        <w:rPr>
          <w:color w:val="auto"/>
        </w:rPr>
      </w:pPr>
      <w:r>
        <w:rPr>
          <w:color w:val="auto"/>
        </w:rPr>
        <w:t>3.4 逾期、金额不足或者无法匹配的汇款由甲方人工核对，甲方应联系付款人并书面说明补正或退回安排。付款截止时间、名额保护期限，以及本期开展的确认状态或者最迟确认日期，甲方应当在录取时写入附表 A。异常汇款不得使已确认名额超过 18 人上限。若已无名额且未达成另一期次的书面安排，甲方应退回款项；未提供服务的异常汇款不按成员主动取消收取取消费用。退回款项的期限适用第 10.5 条。</w:t>
      </w:r>
    </w:p>
    <w:p w14:paraId="6FD96C99">
      <w:pPr>
        <w:keepNext w:val="0"/>
        <w:rPr>
          <w:color w:val="auto"/>
        </w:rPr>
      </w:pPr>
      <w:r>
        <w:rPr>
          <w:rFonts w:ascii="DejaVu Sans" w:hAnsi="DejaVu Sans" w:eastAsia="Noto Sans CJK SC" w:cs="DejaVu Sans"/>
          <w:b w:val="0"/>
          <w:color w:val="auto"/>
          <w:lang w:val="en-GB" w:eastAsia="zh-CN"/>
        </w:rPr>
        <w:t>3.4 Late, short or unmatched payments are reconciled manually by the Provider. The Provider contacts the remitter and explains correction or return in writing. The payment deadline, the place-protection deadline and the cohort-operation status or latest confirmation date must be recorded in Schedule A at the offer stage. Unexpected payments cannot exceed the eighteen-place cap. If no place remains and no other cohort is agreed in writing, the payment is returned. An unexpected payment for which no service is provided is not subject to a Member-cancellation charge. The deadline for returning the payment follows clause 10.5.</w:t>
      </w:r>
    </w:p>
    <w:p w14:paraId="165DB674">
      <w:pPr>
        <w:pStyle w:val="3"/>
        <w:keepNext/>
        <w:rPr>
          <w:color w:val="auto"/>
        </w:rPr>
      </w:pPr>
      <w:r>
        <w:rPr>
          <w:rFonts w:ascii="Noto Sans CJK SC" w:hAnsi="Noto Sans CJK SC" w:eastAsia="Noto Sans CJK SC" w:cs="Noto Sans CJK SC"/>
          <w:b w:val="0"/>
          <w:color w:val="auto"/>
          <w:lang w:val="en-GB" w:eastAsia="zh-CN"/>
        </w:rPr>
        <w:t>4 出行接送与安全交接</w:t>
      </w:r>
    </w:p>
    <w:p w14:paraId="258E35E9">
      <w:pPr>
        <w:pStyle w:val="4"/>
        <w:keepNext/>
        <w:spacing w:before="0"/>
        <w:rPr>
          <w:color w:val="auto"/>
        </w:rPr>
      </w:pPr>
      <w:r>
        <w:rPr>
          <w:rFonts w:ascii="DejaVu Sans" w:hAnsi="DejaVu Sans" w:eastAsia="Noto Sans CJK SC" w:cs="DejaVu Sans"/>
          <w:b w:val="0"/>
          <w:color w:val="auto"/>
          <w:lang w:val="en-GB" w:eastAsia="zh-CN"/>
        </w:rPr>
        <w:t>Travel transfers and handover</w:t>
      </w:r>
    </w:p>
    <w:p w14:paraId="325AFB71">
      <w:pPr>
        <w:keepNext/>
        <w:rPr>
          <w:color w:val="auto"/>
        </w:rPr>
      </w:pPr>
      <w:r>
        <w:rPr>
          <w:color w:val="auto"/>
        </w:rPr>
        <w:t>4.1 成员或者未成年成员的监护人负责办理护照、签证或者其他入境许可、往返海南的航班，以及适用于其本人的旅行要求。成员从常住地到出发地的国内段交通由成员自行安排并承担费用；项目之外的独立旅行、额外住宿及费用按附表 A 处理。甲方应提供办理项目出行合理需要的真实项目信息；甲方不承诺签证获准或者航班正常运行。</w:t>
      </w:r>
    </w:p>
    <w:p w14:paraId="54852117">
      <w:pPr>
        <w:keepNext w:val="0"/>
        <w:rPr>
          <w:color w:val="auto"/>
        </w:rPr>
      </w:pPr>
      <w:r>
        <w:rPr>
          <w:rFonts w:ascii="DejaVu Sans" w:hAnsi="DejaVu Sans" w:eastAsia="Noto Sans CJK SC" w:cs="DejaVu Sans"/>
          <w:b w:val="0"/>
          <w:color w:val="auto"/>
          <w:lang w:val="en-GB" w:eastAsia="zh-CN"/>
        </w:rPr>
        <w:t>4.1 The Member or, for a minor, the guardian is responsible for obtaining passports, visas or other entry permissions, flights to and from Hainan and the travel requirements applicable to that person. Domestic transport from the Member’s place of habitual residence to the point of departure is arranged and paid for by the Member; Independent travel, additional accommodation and costs outside the programme are addressed in Schedule A. The Provider must supply accurate programme information reasonably needed for travel arrangements; it does not guarantee visa issuance or flight operation.</w:t>
      </w:r>
    </w:p>
    <w:p w14:paraId="4D5371C3">
      <w:pPr>
        <w:keepNext/>
        <w:rPr>
          <w:color w:val="auto"/>
        </w:rPr>
      </w:pPr>
      <w:r>
        <w:rPr>
          <w:color w:val="auto"/>
        </w:rPr>
        <w:t>4.2 标准接送机场为三亚凤凰国际机场（SYX）。标准接送服务适用于规定抵达／离开日期内，计划起降时间在海南当地时间 10:00 至 18:00 的航班，甲方须将具体集合安排、离开安排及费用范围列入附表 A。超出该时段或者航班变化的，成员或者未成年成员的监护人应当提前提请甲方审核，经甲方书面确认后安排；甲方不承诺提供 24 小时接送服务。工作人员应按最终交接安排核验接送人员并记录未成年成员的交接。超出该时段的接送服务，经甲方书面确认后可以安排，费用由成员承担或者按附表 A 的约定办理。</w:t>
      </w:r>
    </w:p>
    <w:p w14:paraId="43ED433B">
      <w:pPr>
        <w:keepNext w:val="0"/>
        <w:rPr>
          <w:color w:val="auto"/>
        </w:rPr>
      </w:pPr>
      <w:r>
        <w:rPr>
          <w:rFonts w:ascii="DejaVu Sans" w:hAnsi="DejaVu Sans" w:eastAsia="Noto Sans CJK SC" w:cs="DejaVu Sans"/>
          <w:b w:val="0"/>
          <w:color w:val="auto"/>
          <w:lang w:val="en-GB" w:eastAsia="zh-CN"/>
        </w:rPr>
        <w:t>4.2 The standard airport is Sanya Phoenix International Airport (SYX). Standard transfers apply to flights scheduled to arrive or depart between 10:00 and 18:00 Hainan local time on the specified arrival or departure date. Meeting points, departure arrangements and included costs must be recorded in Schedule A. Out-of-window travel or flight changes require the Provider’s manual review and written confirmation; the Provider does not promise 24-hour transfer service. Staff must verify authorised handover persons and record handover of minors under the final arrangements. Transfers outside that window may be arranged upon the Provider’s written confirmation, with the cost borne by the Member or dealt with as agreed in Schedule A.</w:t>
      </w:r>
    </w:p>
    <w:p w14:paraId="459B4183">
      <w:pPr>
        <w:pStyle w:val="3"/>
        <w:keepNext/>
        <w:rPr>
          <w:color w:val="auto"/>
        </w:rPr>
      </w:pPr>
      <w:r>
        <w:rPr>
          <w:rFonts w:ascii="Noto Sans CJK SC" w:hAnsi="Noto Sans CJK SC" w:eastAsia="Noto Sans CJK SC" w:cs="Noto Sans CJK SC"/>
          <w:b w:val="0"/>
          <w:color w:val="auto"/>
          <w:lang w:val="en-GB" w:eastAsia="zh-CN"/>
        </w:rPr>
        <w:t>5 成员行为与保护措施</w:t>
      </w:r>
    </w:p>
    <w:p w14:paraId="07E9EA76">
      <w:pPr>
        <w:pStyle w:val="4"/>
        <w:keepNext/>
        <w:spacing w:before="0"/>
        <w:rPr>
          <w:color w:val="auto"/>
        </w:rPr>
      </w:pPr>
      <w:r>
        <w:rPr>
          <w:rFonts w:ascii="DejaVu Sans" w:hAnsi="DejaVu Sans" w:eastAsia="Noto Sans CJK SC" w:cs="DejaVu Sans"/>
          <w:b w:val="0"/>
          <w:color w:val="auto"/>
          <w:lang w:val="en-GB" w:eastAsia="zh-CN"/>
        </w:rPr>
        <w:t>Conduct and safeguarding</w:t>
      </w:r>
    </w:p>
    <w:p w14:paraId="7CAE5D8D">
      <w:pPr>
        <w:keepNext/>
        <w:rPr>
          <w:color w:val="auto"/>
        </w:rPr>
      </w:pPr>
      <w:r>
        <w:rPr>
          <w:color w:val="auto"/>
        </w:rPr>
        <w:t>5.1 成员须遵守《共同生活守则》《无手机政策》、合理的住宿安排以及甲方工作人员和活动服务方的安全指示，尊重他人人身及财物、隐私，并遵守夜间安静时间及回房时间。成员不得跨房间过夜。酒精、烟草及电子烟、非法药物、霸凌、骚扰、暴力、未经批准离开项目区域等禁止事项以签约时交付的《共同生活守则》为准。</w:t>
      </w:r>
    </w:p>
    <w:p w14:paraId="06B123F7">
      <w:pPr>
        <w:keepNext w:val="0"/>
        <w:rPr>
          <w:color w:val="auto"/>
        </w:rPr>
      </w:pPr>
      <w:r>
        <w:rPr>
          <w:rFonts w:ascii="DejaVu Sans" w:hAnsi="DejaVu Sans" w:eastAsia="Noto Sans CJK SC" w:cs="DejaVu Sans"/>
          <w:b w:val="0"/>
          <w:color w:val="auto"/>
          <w:lang w:val="en-GB" w:eastAsia="zh-CN"/>
        </w:rPr>
        <w:t>5.1 Members must follow the Community Code, the Phone-Free Policy, reasonable rooming arrangements and safety instructions from the Provider’s staff and activity providers, and must respect other persons’ person and property, privacy, quiet hours and room-return times. Members must not stay overnight in another Member’s room. Prohibitions, including alcohol, tobacco and vaping, illegal drugs, bullying, harassment, violence and leaving programme areas without approval, are set out in the Community Code supplied at signing.</w:t>
      </w:r>
    </w:p>
    <w:p w14:paraId="130FD489">
      <w:pPr>
        <w:keepNext/>
        <w:rPr>
          <w:color w:val="auto"/>
        </w:rPr>
      </w:pPr>
      <w:r>
        <w:rPr>
          <w:color w:val="auto"/>
        </w:rPr>
        <w:t>5.2 甲方可采取与实际风险或者行为严重程度相应的措施，包括谈话、加强看护、限制特定活动、调整住宿、联系家庭、临时隔离或安排提前离开。存在即时安全风险的，甲方可以先行采取保护措施。</w:t>
      </w:r>
    </w:p>
    <w:p w14:paraId="60C718A9">
      <w:pPr>
        <w:keepNext w:val="0"/>
        <w:rPr>
          <w:color w:val="auto"/>
        </w:rPr>
      </w:pPr>
      <w:r>
        <w:rPr>
          <w:rFonts w:ascii="DejaVu Sans" w:hAnsi="DejaVu Sans" w:eastAsia="Noto Sans CJK SC" w:cs="DejaVu Sans"/>
          <w:b w:val="0"/>
          <w:color w:val="auto"/>
          <w:lang w:val="en-GB" w:eastAsia="zh-CN"/>
        </w:rPr>
        <w:t>5.2 The Provider may take measures proportionate to the actual risk or seriousness of conduct, including discussion, increased supervision, restriction of a specific activity, rooming adjustment, family contact, temporary separation or early departure. Immediate risk may require protective action first.</w:t>
      </w:r>
    </w:p>
    <w:p w14:paraId="349AA050">
      <w:pPr>
        <w:keepNext/>
        <w:rPr>
          <w:color w:val="auto"/>
        </w:rPr>
      </w:pPr>
      <w:r>
        <w:rPr>
          <w:color w:val="auto"/>
        </w:rPr>
        <w:t>5.3 提前离开决定属于非紧急但性质严重的，甲方应当在切实可行的范围内先向成员说明理由，听取成员及未成年成员的监护人的陈述，再由两名授权工作人员共同确认；决定作出后，甲方应当书面向未成年成员的监护人通知决定及理由。甲方不得通过自动化系统作出纪律处分或者提前离开决定。</w:t>
      </w:r>
    </w:p>
    <w:p w14:paraId="504F313F">
      <w:pPr>
        <w:keepNext w:val="0"/>
        <w:rPr>
          <w:color w:val="auto"/>
        </w:rPr>
      </w:pPr>
      <w:r>
        <w:rPr>
          <w:color w:val="auto"/>
        </w:rPr>
        <w:t>5.3 For a serious non-urgent early-departure decision, the Provider must, where practicable, first explain the reasons to the Member and hear the Member and, for a minor, the guardian, and then obtain confirmation by two authorised staff members; after the decision is made, the Provider must notify the minor’s guardian of the decision and the reasons in writing. Automated systems must not make disciplinary or early-departure decisions.</w:t>
      </w:r>
    </w:p>
    <w:p w14:paraId="30633B31">
      <w:pPr>
        <w:keepNext/>
        <w:rPr>
          <w:color w:val="auto"/>
        </w:rPr>
      </w:pPr>
      <w:r>
        <w:rPr>
          <w:color w:val="auto"/>
        </w:rPr>
        <w:t>5.4 成员提前离开的，甲方应安排安全交接，并说明交通、陪同及费用；涉及未成年成员的，甲方应当与该未成年成员的监护人或者其经核验的授权接收人交接，不得使该成员无人照看。成员因行为或医疗原因提前离开所产生的费用和退款依第 10 条及适用法律处理。甲方不得因成员提出投诉或者保护请求而对其报复。</w:t>
      </w:r>
    </w:p>
    <w:p w14:paraId="2072A598">
      <w:pPr>
        <w:keepNext w:val="0"/>
        <w:rPr>
          <w:color w:val="auto"/>
        </w:rPr>
      </w:pPr>
      <w:r>
        <w:rPr>
          <w:rFonts w:ascii="DejaVu Sans" w:hAnsi="DejaVu Sans" w:eastAsia="Noto Sans CJK SC" w:cs="DejaVu Sans"/>
          <w:b w:val="0"/>
          <w:color w:val="auto"/>
          <w:lang w:val="en-GB" w:eastAsia="zh-CN"/>
        </w:rPr>
        <w:t>5.4 Where a Member departs early, the Provider must arrange safe handover and explain transport, accompaniment and costs. A minor must be handed to the guardian or a verified authorised recipient and must not be left without care. Costs and refunds arising from conduct-related or medically required early departure are governed by clause 10 and applicable law. Complaints or safeguarding requests must not lead to retaliation.</w:t>
      </w:r>
    </w:p>
    <w:p w14:paraId="71946E65">
      <w:pPr>
        <w:pStyle w:val="3"/>
        <w:keepNext/>
        <w:rPr>
          <w:color w:val="auto"/>
        </w:rPr>
      </w:pPr>
      <w:r>
        <w:rPr>
          <w:rFonts w:ascii="Noto Sans CJK SC" w:hAnsi="Noto Sans CJK SC" w:eastAsia="Noto Sans CJK SC" w:cs="Noto Sans CJK SC"/>
          <w:b w:val="0"/>
          <w:color w:val="auto"/>
          <w:lang w:val="en-GB" w:eastAsia="zh-CN"/>
        </w:rPr>
        <w:t>6 健康保险与活动风险</w:t>
      </w:r>
    </w:p>
    <w:p w14:paraId="0993E4ED">
      <w:pPr>
        <w:pStyle w:val="4"/>
        <w:keepNext/>
        <w:spacing w:before="0"/>
        <w:rPr>
          <w:color w:val="auto"/>
        </w:rPr>
      </w:pPr>
      <w:r>
        <w:rPr>
          <w:rFonts w:ascii="DejaVu Sans" w:hAnsi="DejaVu Sans" w:eastAsia="Noto Sans CJK SC" w:cs="DejaVu Sans"/>
          <w:b w:val="0"/>
          <w:color w:val="auto"/>
          <w:lang w:val="en-GB" w:eastAsia="zh-CN"/>
        </w:rPr>
        <w:t>Health insurance and activity risks</w:t>
      </w:r>
    </w:p>
    <w:p w14:paraId="69293A64">
      <w:pPr>
        <w:keepNext/>
        <w:rPr>
          <w:color w:val="auto"/>
        </w:rPr>
      </w:pPr>
      <w:r>
        <w:rPr>
          <w:color w:val="auto"/>
        </w:rPr>
        <w:t>6.1 每位成员须自费安排并全程持有符合甲方书面保险要求的旅行医疗保险，保险期间覆盖离开常住地至返回常住地的全部期间。未满十八周岁的成员，由其监护人按保险人的要求办理投保，并确认在父母或者监护人不随行、由项目人员带领时该成员仍在承保范围内。已有保险符合全部要求的，成员及未成年成员的监护人可以提交核验，无须重复投保。</w:t>
      </w:r>
    </w:p>
    <w:p w14:paraId="789102BE">
      <w:pPr>
        <w:keepNext w:val="0"/>
        <w:rPr>
          <w:color w:val="auto"/>
        </w:rPr>
      </w:pPr>
      <w:r>
        <w:rPr>
          <w:rFonts w:ascii="DejaVu Sans" w:hAnsi="DejaVu Sans" w:eastAsia="Noto Sans CJK SC" w:cs="DejaVu Sans"/>
          <w:b w:val="0"/>
          <w:color w:val="auto"/>
          <w:lang w:val="en-GB" w:eastAsia="zh-CN"/>
        </w:rPr>
        <w:t>6.1 Every Member must arrange and maintain, at their own expense, travel medical insurance that meets the Provider’s written Insurance Requirements, for the whole period from departure from their place of habitual residence until their return. For a Member under eighteen, the guardian arranges the insurance in accordance with the insurer’s requirements and confirms that the Member remains covered when travelling led by programme personnel without a parent or guardian. Insurance already held may be submitted for review by the Member and, for a minor, the guardian if it meets all the requirements, and duplicate cover is not required.</w:t>
      </w:r>
    </w:p>
    <w:p w14:paraId="3A1D3593">
      <w:pPr>
        <w:keepNext/>
        <w:rPr>
          <w:color w:val="auto"/>
        </w:rPr>
      </w:pPr>
      <w:r>
        <w:rPr>
          <w:color w:val="auto"/>
        </w:rPr>
        <w:t>6.2 成员的保险须包含意外及突发急性病医疗费用、紧急医疗运送及送返费用，覆盖每日高尔夫教学及一般户外、体能活动的相应风险，并在适用时包含来华旅行及送返常住地。最低限额见下表，按常住地及行程类别适用，与项目费支付币种无关；两类限额为独立标准，不按汇率折算。</w:t>
      </w:r>
    </w:p>
    <w:tbl>
      <w:tblPr>
        <w:tblStyle w:val="32"/>
        <w:tblW w:w="9994" w:type="dxa"/>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100" w:type="dxa"/>
          <w:left w:w="115" w:type="dxa"/>
          <w:bottom w:w="100" w:type="dxa"/>
          <w:right w:w="115" w:type="dxa"/>
        </w:tblCellMar>
      </w:tblPr>
      <w:tblGrid>
        <w:gridCol w:w="2418"/>
        <w:gridCol w:w="2667"/>
        <w:gridCol w:w="2353"/>
        <w:gridCol w:w="2556"/>
      </w:tblGrid>
      <w:tr w14:paraId="4FAF5679">
        <w:trPr>
          <w:trHeight w:val="0" w:hRule="atLeast"/>
          <w:tblHeader/>
          <w:jc w:val="center"/>
        </w:trPr>
        <w:tc>
          <w:tcPr>
            <w:tcW w:w="2418" w:type="dxa"/>
            <w:shd w:val="clear" w:color="auto" w:fill="E7EBE8"/>
            <w:vAlign w:val="center"/>
          </w:tcPr>
          <w:p w14:paraId="0FF8F260">
            <w:pPr>
              <w:keepNext/>
              <w:snapToGrid w:val="0"/>
              <w:spacing w:after="40" w:line="240" w:lineRule="auto"/>
              <w:ind w:left="0" w:leftChars="0" w:right="0" w:rightChars="0" w:firstLine="0" w:firstLineChars="0"/>
              <w:jc w:val="center"/>
              <w:rPr>
                <w:rFonts w:ascii="Noto Sans CJK SC" w:eastAsia="Noto Sans CJK SC"/>
                <w:b/>
                <w:color w:val="auto"/>
                <w:sz w:val="21"/>
              </w:rPr>
            </w:pPr>
            <w:r>
              <w:rPr>
                <w:rFonts w:ascii="Noto Sans CJK SC" w:hAnsi="Noto Sans CJK SC" w:eastAsia="Noto Sans CJK SC" w:cs="Noto Sans CJK SC"/>
                <w:b/>
                <w:color w:val="auto"/>
                <w:sz w:val="21"/>
                <w:lang w:val="en-GB" w:eastAsia="zh-CN"/>
              </w:rPr>
              <w:t>保障项目Benefit</w:t>
            </w:r>
          </w:p>
        </w:tc>
        <w:tc>
          <w:tcPr>
            <w:tcW w:w="2667" w:type="dxa"/>
            <w:shd w:val="clear" w:color="auto" w:fill="E7EBE8"/>
            <w:vAlign w:val="center"/>
          </w:tcPr>
          <w:p w14:paraId="25890B85">
            <w:pPr>
              <w:keepNext/>
              <w:snapToGrid w:val="0"/>
              <w:spacing w:after="40" w:line="240" w:lineRule="auto"/>
              <w:ind w:left="0" w:leftChars="0" w:right="0" w:rightChars="0" w:firstLine="0" w:firstLineChars="0"/>
              <w:jc w:val="center"/>
              <w:rPr>
                <w:rFonts w:ascii="Noto Sans CJK SC" w:eastAsia="Noto Sans CJK SC"/>
                <w:b/>
                <w:color w:val="auto"/>
                <w:sz w:val="21"/>
              </w:rPr>
            </w:pPr>
            <w:r>
              <w:rPr>
                <w:rFonts w:ascii="Noto Sans CJK SC" w:hAnsi="Noto Sans CJK SC" w:eastAsia="Noto Sans CJK SC" w:cs="Noto Sans CJK SC"/>
                <w:b/>
                <w:color w:val="auto"/>
                <w:sz w:val="21"/>
                <w:lang w:val="en-GB" w:eastAsia="zh-CN"/>
              </w:rPr>
              <w:t>常住中国大陆、境内往返MainlandChinadomesticroundtrip</w:t>
            </w:r>
          </w:p>
        </w:tc>
        <w:tc>
          <w:tcPr>
            <w:tcW w:w="2353" w:type="dxa"/>
            <w:shd w:val="clear" w:color="auto" w:fill="E7EBE8"/>
            <w:vAlign w:val="center"/>
          </w:tcPr>
          <w:p w14:paraId="141B63D8">
            <w:pPr>
              <w:keepNext/>
              <w:snapToGrid w:val="0"/>
              <w:spacing w:after="40" w:line="240" w:lineRule="auto"/>
              <w:ind w:left="0" w:leftChars="0" w:right="0" w:rightChars="0" w:firstLine="0" w:firstLineChars="0"/>
              <w:jc w:val="center"/>
              <w:rPr>
                <w:rFonts w:ascii="Noto Sans CJK SC" w:hAnsi="Noto Sans CJK SC" w:eastAsia="Noto Sans CJK SC" w:cs="Noto Sans CJK SC"/>
                <w:b/>
                <w:color w:val="auto"/>
                <w:sz w:val="21"/>
                <w:lang w:val="en-GB" w:eastAsia="zh-CN"/>
              </w:rPr>
            </w:pPr>
            <w:r>
              <w:rPr>
                <w:rFonts w:ascii="Noto Sans CJK SC" w:hAnsi="Noto Sans CJK SC" w:eastAsia="Noto Sans CJK SC" w:cs="Noto Sans CJK SC"/>
                <w:b/>
                <w:color w:val="auto"/>
                <w:sz w:val="21"/>
                <w:lang w:val="en-GB" w:eastAsia="zh-CN"/>
              </w:rPr>
              <w:t>常住境外跨境来海南OutsidemainlandChinacross-bordertravel</w:t>
            </w:r>
          </w:p>
        </w:tc>
        <w:tc>
          <w:tcPr>
            <w:tcW w:w="2556" w:type="dxa"/>
            <w:vAlign w:val="center"/>
          </w:tcPr>
          <w:p w14:paraId="4A158A4E">
            <w:pPr>
              <w:keepNext/>
              <w:snapToGrid w:val="0"/>
              <w:spacing w:after="40" w:line="240" w:lineRule="auto"/>
              <w:ind w:left="0" w:leftChars="0" w:right="0" w:rightChars="0" w:firstLine="0" w:firstLineChars="0"/>
              <w:jc w:val="center"/>
              <w:rPr>
                <w:rFonts w:ascii="Noto Sans CJK SC" w:hAnsi="Noto Sans CJK SC" w:eastAsia="Noto Sans CJK SC" w:cs="Noto Sans CJK SC"/>
                <w:b/>
                <w:color w:val="auto"/>
                <w:sz w:val="21"/>
                <w:lang w:val="en-GB" w:eastAsia="zh-CN"/>
              </w:rPr>
            </w:pPr>
            <w:r>
              <w:rPr>
                <w:rFonts w:ascii="Noto Sans CJK SC" w:hAnsi="Noto Sans CJK SC" w:eastAsia="Noto Sans CJK SC" w:cs="Noto Sans CJK SC"/>
                <w:b/>
                <w:color w:val="auto"/>
                <w:sz w:val="21"/>
                <w:lang w:val="en-GB" w:eastAsia="zh-CN"/>
              </w:rPr>
              <w:t>说明Notes</w:t>
            </w:r>
          </w:p>
        </w:tc>
      </w:tr>
      <w:tr w14:paraId="170D29B4">
        <w:trPr>
          <w:trHeight w:val="0" w:hRule="atLeast"/>
          <w:jc w:val="center"/>
        </w:trPr>
        <w:tc>
          <w:tcPr>
            <w:tcW w:w="2418" w:type="dxa"/>
            <w:vAlign w:val="center"/>
          </w:tcPr>
          <w:p w14:paraId="7EA320CC">
            <w:pPr>
              <w:keepNext/>
              <w:snapToGrid w:val="0"/>
              <w:spacing w:after="40" w:line="240" w:lineRule="auto"/>
              <w:ind w:left="0" w:leftChars="0" w:right="0" w:rightChars="0" w:firstLine="0" w:firstLineChars="0"/>
              <w:jc w:val="left"/>
              <w:rPr>
                <w:rFonts w:ascii="Noto Sans CJK SC" w:eastAsia="Noto Sans CJK SC"/>
                <w:color w:val="auto"/>
                <w:sz w:val="21"/>
              </w:rPr>
            </w:pPr>
            <w:r>
              <w:rPr>
                <w:rFonts w:ascii="Noto Sans CJK SC" w:hAnsi="Noto Sans CJK SC" w:eastAsia="Noto Sans CJK SC" w:cs="Noto Sans CJK SC"/>
                <w:b w:val="0"/>
                <w:color w:val="auto"/>
                <w:sz w:val="21"/>
                <w:lang w:val="en-GB" w:eastAsia="zh-CN"/>
              </w:rPr>
              <w:t>意外及突发急性病医疗费用</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Accident and sudden acute illness medical expenses</w:t>
            </w:r>
          </w:p>
        </w:tc>
        <w:tc>
          <w:tcPr>
            <w:tcW w:w="2667" w:type="dxa"/>
            <w:vAlign w:val="center"/>
          </w:tcPr>
          <w:p w14:paraId="7F25209B">
            <w:pPr>
              <w:keepNext/>
              <w:snapToGrid w:val="0"/>
              <w:spacing w:after="40" w:line="240" w:lineRule="auto"/>
              <w:ind w:left="0" w:leftChars="0" w:right="0" w:rightChars="0" w:firstLine="0" w:firstLineChars="0"/>
              <w:jc w:val="right"/>
              <w:rPr>
                <w:rFonts w:ascii="Noto Sans CJK SC" w:eastAsia="Noto Sans CJK SC"/>
                <w:color w:val="auto"/>
                <w:sz w:val="21"/>
              </w:rPr>
            </w:pPr>
            <w:r>
              <w:rPr>
                <w:rFonts w:ascii="Noto Sans CJK SC" w:hAnsi="Noto Sans CJK SC" w:eastAsia="Noto Sans CJK SC" w:cs="Noto Sans CJK SC"/>
                <w:b w:val="0"/>
                <w:color w:val="auto"/>
                <w:sz w:val="21"/>
                <w:lang w:val="en-GB" w:eastAsia="zh-CN"/>
              </w:rPr>
              <w:t>RMB 500,000</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人民币50万元</w:t>
            </w:r>
          </w:p>
        </w:tc>
        <w:tc>
          <w:tcPr>
            <w:tcW w:w="2353" w:type="dxa"/>
            <w:vAlign w:val="center"/>
          </w:tcPr>
          <w:p w14:paraId="1B70719A">
            <w:pPr>
              <w:keepNext/>
              <w:snapToGrid w:val="0"/>
              <w:spacing w:after="40" w:line="240" w:lineRule="auto"/>
              <w:ind w:left="0" w:leftChars="0" w:right="0" w:rightChars="0" w:firstLine="0" w:firstLineChars="0"/>
              <w:jc w:val="right"/>
              <w:rPr>
                <w:rFonts w:ascii="Noto Sans CJK SC" w:eastAsia="Noto Sans CJK SC"/>
                <w:color w:val="auto"/>
                <w:sz w:val="21"/>
              </w:rPr>
            </w:pPr>
            <w:r>
              <w:rPr>
                <w:rFonts w:ascii="Noto Sans CJK SC" w:hAnsi="Noto Sans CJK SC" w:eastAsia="Noto Sans CJK SC" w:cs="Noto Sans CJK SC"/>
                <w:b w:val="0"/>
                <w:color w:val="auto"/>
                <w:sz w:val="21"/>
                <w:lang w:val="en-GB" w:eastAsia="zh-CN"/>
              </w:rPr>
              <w:t>USD 100,000</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美元10万元</w:t>
            </w:r>
          </w:p>
        </w:tc>
        <w:tc>
          <w:tcPr>
            <w:tcW w:w="2556" w:type="dxa"/>
            <w:vMerge w:val="restart"/>
            <w:vAlign w:val="center"/>
          </w:tcPr>
          <w:p w14:paraId="51F9BA7D">
            <w:pPr>
              <w:keepNext/>
              <w:snapToGrid w:val="0"/>
              <w:spacing w:line="240" w:lineRule="auto"/>
              <w:ind w:left="0" w:leftChars="0" w:right="0" w:rightChars="0" w:firstLine="0" w:firstLineChars="0"/>
              <w:jc w:val="left"/>
              <w:rPr>
                <w:rFonts w:ascii="Noto Sans CJK SC" w:eastAsia="Noto Sans CJK SC"/>
                <w:color w:val="auto"/>
                <w:sz w:val="21"/>
              </w:rPr>
            </w:pPr>
            <w:r>
              <w:rPr>
                <w:rFonts w:ascii="Noto Sans CJK SC" w:eastAsia="Noto Sans CJK SC"/>
                <w:color w:val="auto"/>
                <w:sz w:val="21"/>
              </w:rPr>
              <w:t>本表为概括列示，具体保障项目、限额及币种以书面保险要求为准。</w:t>
            </w:r>
            <w:r>
              <w:rPr>
                <w:rFonts w:ascii="Noto Sans CJK SC" w:eastAsia="Noto Sans CJK SC"/>
                <w:color w:val="auto"/>
                <w:sz w:val="21"/>
              </w:rPr>
              <w:br w:type="textWrapping"/>
            </w:r>
            <w:r>
              <w:rPr>
                <w:rFonts w:ascii="Noto Sans CJK SC" w:eastAsia="Noto Sans CJK SC"/>
                <w:color w:val="auto"/>
                <w:sz w:val="21"/>
              </w:rPr>
              <w:t>This table is a summary; the specific benefits, limits and currencies are governed by the written Insurance Requirements.</w:t>
            </w:r>
          </w:p>
        </w:tc>
      </w:tr>
      <w:tr w14:paraId="0DEC39DA">
        <w:trPr>
          <w:trHeight w:val="0" w:hRule="atLeast"/>
          <w:jc w:val="center"/>
        </w:trPr>
        <w:tc>
          <w:tcPr>
            <w:tcW w:w="2418" w:type="dxa"/>
            <w:vAlign w:val="center"/>
          </w:tcPr>
          <w:p w14:paraId="2176A42E">
            <w:pPr>
              <w:keepNext/>
              <w:snapToGrid w:val="0"/>
              <w:spacing w:after="40" w:line="240" w:lineRule="auto"/>
              <w:ind w:left="0" w:leftChars="0" w:right="0" w:rightChars="0" w:firstLine="0" w:firstLineChars="0"/>
              <w:jc w:val="left"/>
              <w:rPr>
                <w:rFonts w:ascii="Noto Sans CJK SC" w:eastAsia="Noto Sans CJK SC"/>
                <w:color w:val="auto"/>
                <w:sz w:val="21"/>
              </w:rPr>
            </w:pPr>
            <w:r>
              <w:rPr>
                <w:rFonts w:ascii="Noto Sans CJK SC" w:hAnsi="Noto Sans CJK SC" w:eastAsia="Noto Sans CJK SC" w:cs="Noto Sans CJK SC"/>
                <w:b w:val="0"/>
                <w:color w:val="auto"/>
                <w:sz w:val="21"/>
                <w:lang w:val="en-GB" w:eastAsia="zh-CN"/>
              </w:rPr>
              <w:t>紧急医疗运送及送返费用合计</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Emergency medical evacuation and repatriation combined</w:t>
            </w:r>
          </w:p>
        </w:tc>
        <w:tc>
          <w:tcPr>
            <w:tcW w:w="2667" w:type="dxa"/>
            <w:vAlign w:val="center"/>
          </w:tcPr>
          <w:p w14:paraId="119D3694">
            <w:pPr>
              <w:keepNext/>
              <w:snapToGrid w:val="0"/>
              <w:spacing w:after="40" w:line="240" w:lineRule="auto"/>
              <w:ind w:left="0" w:leftChars="0" w:right="0" w:rightChars="0" w:firstLine="0" w:firstLineChars="0"/>
              <w:jc w:val="right"/>
              <w:rPr>
                <w:rFonts w:ascii="Noto Sans CJK SC" w:eastAsia="Noto Sans CJK SC"/>
                <w:color w:val="auto"/>
                <w:sz w:val="21"/>
              </w:rPr>
            </w:pPr>
            <w:r>
              <w:rPr>
                <w:rFonts w:ascii="Noto Sans CJK SC" w:hAnsi="Noto Sans CJK SC" w:eastAsia="Noto Sans CJK SC" w:cs="Noto Sans CJK SC"/>
                <w:b w:val="0"/>
                <w:color w:val="auto"/>
                <w:sz w:val="21"/>
                <w:lang w:val="en-GB" w:eastAsia="zh-CN"/>
              </w:rPr>
              <w:t>RMB 1,000,000</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人民币100万元</w:t>
            </w:r>
          </w:p>
        </w:tc>
        <w:tc>
          <w:tcPr>
            <w:tcW w:w="2353" w:type="dxa"/>
            <w:vAlign w:val="center"/>
          </w:tcPr>
          <w:p w14:paraId="5B57711B">
            <w:pPr>
              <w:keepNext/>
              <w:snapToGrid w:val="0"/>
              <w:spacing w:after="40" w:line="240" w:lineRule="auto"/>
              <w:ind w:left="0" w:leftChars="0" w:right="0" w:rightChars="0" w:firstLine="0" w:firstLineChars="0"/>
              <w:jc w:val="right"/>
              <w:rPr>
                <w:rFonts w:ascii="Noto Sans CJK SC" w:eastAsia="Noto Sans CJK SC"/>
                <w:color w:val="auto"/>
                <w:sz w:val="21"/>
              </w:rPr>
            </w:pPr>
            <w:r>
              <w:rPr>
                <w:rFonts w:ascii="Noto Sans CJK SC" w:hAnsi="Noto Sans CJK SC" w:eastAsia="Noto Sans CJK SC" w:cs="Noto Sans CJK SC"/>
                <w:b w:val="0"/>
                <w:color w:val="auto"/>
                <w:sz w:val="21"/>
                <w:lang w:val="en-GB" w:eastAsia="zh-CN"/>
              </w:rPr>
              <w:t>USD 500,000</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美元50万元</w:t>
            </w:r>
          </w:p>
        </w:tc>
        <w:tc>
          <w:tcPr>
            <w:tcW w:w="2556" w:type="dxa"/>
            <w:vMerge w:val="continue"/>
            <w:vAlign w:val="center"/>
          </w:tcPr>
          <w:p w14:paraId="7182AE35">
            <w:pPr>
              <w:keepNext/>
              <w:snapToGrid w:val="0"/>
              <w:spacing w:line="240" w:lineRule="auto"/>
              <w:ind w:left="0" w:leftChars="0" w:right="0" w:rightChars="0" w:firstLine="0" w:firstLineChars="0"/>
              <w:jc w:val="left"/>
              <w:rPr>
                <w:rFonts w:ascii="Noto Sans CJK SC" w:eastAsia="Noto Sans CJK SC"/>
                <w:color w:val="auto"/>
                <w:sz w:val="21"/>
              </w:rPr>
            </w:pPr>
          </w:p>
        </w:tc>
      </w:tr>
    </w:tbl>
    <w:p w14:paraId="01A440A5">
      <w:pPr>
        <w:keepNext w:val="0"/>
        <w:rPr>
          <w:color w:val="auto"/>
        </w:rPr>
      </w:pPr>
      <w:r>
        <w:rPr>
          <w:color w:val="auto"/>
        </w:rPr>
        <w:t>6.2 The Member’s insurance must include accident and sudden acute illness medical expenses and emergency medical evacuation and repatriation, must cover the relevant risks of daily golf instruction and general outdoor and physical activities, and must, where applicable, include travel to China and repatriation to the Member’s place of habitual residence. The minimum limits are set out in the table below and apply by place of habitual residence and journey category, independently of the programme-fee currency; the two sets of limits are independent standards and are not converted by exchange rate.</w:t>
      </w:r>
    </w:p>
    <w:p w14:paraId="2D9B990A">
      <w:pPr>
        <w:keepNext/>
        <w:spacing w:after="60"/>
        <w:rPr>
          <w:color w:val="auto"/>
        </w:rPr>
      </w:pPr>
      <w:r>
        <w:rPr>
          <w:color w:val="auto"/>
        </w:rPr>
        <w:t>6.3 水肺潜水、滑翔伞、冲浪、抱石、骑马、山地自行车、漂流、峡谷／瀑降等高风险活动，以及其他需要明确承保依据的活动，成员须提交相应的承保凭证；已有保险明确覆盖且符合要求的，成员无须重复投保，未覆盖或者不足的，成员须补充投保。</w:t>
      </w:r>
    </w:p>
    <w:p w14:paraId="70FFC28F">
      <w:pPr>
        <w:keepNext w:val="0"/>
        <w:rPr>
          <w:color w:val="auto"/>
        </w:rPr>
      </w:pPr>
      <w:r>
        <w:rPr>
          <w:rFonts w:ascii="DejaVu Sans" w:hAnsi="DejaVu Sans" w:eastAsia="Noto Sans CJK SC" w:cs="DejaVu Sans"/>
          <w:b w:val="0"/>
          <w:color w:val="auto"/>
          <w:lang w:val="en-GB" w:eastAsia="zh-CN"/>
        </w:rPr>
        <w:t>6.3 For high-risk activities such as scuba diving, paragliding, surfing, bouldering, riding, mountain biking, rafting and canyoning or waterfall rappelling, and for any other activity requiring explicit cover, the Member must submit the corresponding evidence of cover; insurance that expressly covers the activity and meets the requirements need not be duplicated, and cover that is missing or insufficient must be supplemented.</w:t>
      </w:r>
    </w:p>
    <w:p w14:paraId="51EB7578">
      <w:pPr>
        <w:keepNext/>
        <w:spacing w:after="60"/>
        <w:rPr>
          <w:color w:val="auto"/>
        </w:rPr>
      </w:pPr>
      <w:r>
        <w:rPr>
          <w:color w:val="auto"/>
        </w:rPr>
        <w:t>6.4 成员及未成年成员的监护人须至迟于成员自常住地出发前往项目之日前第七个自然日，提交有效保单或保险凭证、保障表、相关保险条款或批单，以及二十四小时紧急救援联系方式供核验。相关活动的承保范围，须以保险合同、批单或者保险人的书面确认予以证明。服务方确定后另有要求的，甲方应书面告知不足并允许出发或活动前补足；未按期限提交或仍不符合要求的，甲方可限制或拒绝项目或相关活动，取消及退款由甲方按照第 10 条及《取消与退款政策》处理。</w:t>
      </w:r>
    </w:p>
    <w:p w14:paraId="048E1919">
      <w:pPr>
        <w:keepNext w:val="0"/>
        <w:rPr>
          <w:color w:val="auto"/>
        </w:rPr>
      </w:pPr>
      <w:r>
        <w:rPr>
          <w:rFonts w:ascii="DejaVu Sans" w:hAnsi="DejaVu Sans" w:eastAsia="Noto Sans CJK SC" w:cs="DejaVu Sans"/>
          <w:b w:val="0"/>
          <w:color w:val="auto"/>
          <w:lang w:val="en-GB" w:eastAsia="zh-CN"/>
        </w:rPr>
        <w:t>6.4 At least seven calendar days before departure from habitual residence for the programme, the Member or minor’s guardian submits a valid policy or insurance certificate, benefit schedule, relevant terms or endorsements and twenty-four-hour emergency assistance contacts for review. Activity cover must be evidenced by the insurance contract, endorsement or insurer’s written confirmation. If a selected provider imposes further requirements, the Provider explains any shortfall in writing and allows it to be addressed before departure or the activity. Late or non-compliant evidence may result in restriction or refusal of programme or activity participation; cancellation and refunds follow clause 10 and the Cancellation &amp; Refund Policy.</w:t>
      </w:r>
    </w:p>
    <w:p w14:paraId="1BBFF59D">
      <w:pPr>
        <w:keepNext/>
        <w:spacing w:after="60"/>
        <w:rPr>
          <w:color w:val="auto"/>
        </w:rPr>
      </w:pPr>
      <w:r>
        <w:rPr>
          <w:rFonts w:ascii="DejaVu Sans" w:hAnsi="DejaVu Sans" w:eastAsia="Noto Sans CJK SC" w:cs="DejaVu Sans"/>
          <w:b w:val="0"/>
          <w:color w:val="auto"/>
          <w:lang w:val="en-GB" w:eastAsia="zh-CN"/>
        </w:rPr>
        <w:t>6.5 户外、体育和水上活动存在固有风险。成员须遵守防护装备及安全要求，感到不适或无法安全继续时应停止并告知工作人员。甲方或活动服务方可按实际安全、资格或保险要求限制某项活动，并在合理可行的范围内安排替代参与方式。风险知情确认不免除甲方或服务方依法承担的责任，也不免除甲方必要的服务方审核义务和安全保障措施。</w:t>
      </w:r>
    </w:p>
    <w:p w14:paraId="57EB1415">
      <w:pPr>
        <w:keepNext w:val="0"/>
        <w:rPr>
          <w:color w:val="auto"/>
        </w:rPr>
      </w:pPr>
      <w:r>
        <w:rPr>
          <w:rFonts w:ascii="DejaVu Sans" w:hAnsi="DejaVu Sans" w:eastAsia="Noto Sans CJK SC" w:cs="DejaVu Sans"/>
          <w:b w:val="0"/>
          <w:color w:val="auto"/>
          <w:lang w:val="en-GB" w:eastAsia="zh-CN"/>
        </w:rPr>
        <w:t>6.5 Outdoor, sporting and water activities involve inherent risks. Members must follow equipment and safety requirements and stop and inform staff if unwell or unable to continue safely. The Provider or activity provider may restrict an activity under actual safety, eligibility or insurance requirements and arrange an alternative form of participation where reasonably practicable. Risk acknowledgement does not exclude legal responsibility of the Provider or activity provider or replace necessary provider review and safety measures.</w:t>
      </w:r>
    </w:p>
    <w:p w14:paraId="08F62330">
      <w:pPr>
        <w:keepNext/>
        <w:rPr>
          <w:color w:val="auto"/>
        </w:rPr>
      </w:pPr>
      <w:r>
        <w:rPr>
          <w:color w:val="auto"/>
        </w:rPr>
        <w:t>6.6 工作人员不因收集健康信息而获权进行诊断、开药或改变治疗，除非该工作人员另具相应执业资格和合法权限。成员发生紧急医疗情形，无法及时取得监护人同意的，成员及监护人授权工作人员为其寻求必要的医疗救治，并按照医疗机构的要求办理相关手续。甲方应及时求助并尽快联系指定联系人，专业诊疗由具备资格的医疗机构作出。合理医疗费用的承担，按照保险理赔结果及适用法律确定；甲方不得以尚未付款为由延误必要紧急求助。</w:t>
      </w:r>
    </w:p>
    <w:p w14:paraId="67C41BE0">
      <w:pPr>
        <w:keepNext w:val="0"/>
        <w:rPr>
          <w:color w:val="auto"/>
        </w:rPr>
      </w:pPr>
      <w:r>
        <w:rPr>
          <w:rFonts w:ascii="DejaVu Sans" w:hAnsi="DejaVu Sans" w:eastAsia="Noto Sans CJK SC" w:cs="DejaVu Sans"/>
          <w:b w:val="0"/>
          <w:color w:val="auto"/>
          <w:lang w:val="en-GB" w:eastAsia="zh-CN"/>
        </w:rPr>
        <w:t>6.6 Receiving health information does not authorise staff to diagnose, prescribe or change treatment unless separately qualified and legally authorised. Members and guardians authorise staff, when urgent medical treatment is needed and guardian consent cannot be obtained in time, to seek necessary treatment and complete formalities required by the medical institution. The Provider promptly seeks assistance and contacts the designated person as soon as practicable; qualified professionals decide clinical treatment. Reasonable costs follow insurance claims and applicable law. The Provider must not delay necessary emergency assistance for lack of payment.</w:t>
      </w:r>
    </w:p>
    <w:p w14:paraId="4E192F47">
      <w:pPr>
        <w:keepNext/>
        <w:spacing w:after="60"/>
        <w:rPr>
          <w:color w:val="auto"/>
        </w:rPr>
      </w:pPr>
      <w:r>
        <w:rPr>
          <w:color w:val="auto"/>
        </w:rPr>
        <w:t>6.7 甲方在确认录取后、收款前，随录取材料向成员及未成年成员的监护人送达书面保险要求，列明适用行程类别、最低限额及币种、保障项目、承保活动以及提交保险材料的期限。成员及未成年成员的监护人应单独书面确认已收到并理解；甲方记录送达日期及确认人。该确认不表示保险已经投保、已通过核验或者保险人必然理赔；该单独确认不因本协议的签署而免除。附表 D 提供独立确认记录。</w:t>
      </w:r>
    </w:p>
    <w:p w14:paraId="50E6B5BD">
      <w:pPr>
        <w:keepNext w:val="0"/>
        <w:rPr>
          <w:b w:val="0"/>
          <w:bCs/>
          <w:color w:val="auto"/>
        </w:rPr>
      </w:pPr>
      <w:r>
        <w:rPr>
          <w:rFonts w:ascii="DejaVu Sans" w:hAnsi="DejaVu Sans" w:eastAsia="Noto Sans CJK SC" w:cs="DejaVu Sans"/>
          <w:b w:val="0"/>
          <w:bCs/>
          <w:color w:val="auto"/>
          <w:lang w:val="en-GB" w:eastAsia="zh-CN"/>
        </w:rPr>
        <w:t>6.7 After admission and before collecting payment, the Provider supplies the written Insurance Requirements to the Member and, for a minor, to the guardian with the offer materials, setting out the applicable journey category, minimum limits and currency, benefit items, covered activities and the deadline for submitting insurance materials. The Member and, for a minor, the guardian must separately acknowledge receipt and understanding in writing; the Provider records the date of supply, the acknowledging person and the date. This acknowledgement does not mean that insurance has been purchased, has passed review or will pay a claim; that separate acknowledgement is not dispensed with by the signing of this Agreement. Schedule D provides the record of that separate acknowledgement.</w:t>
      </w:r>
    </w:p>
    <w:p w14:paraId="5917BA8A">
      <w:pPr>
        <w:keepNext/>
        <w:spacing w:after="60"/>
        <w:rPr>
          <w:color w:val="auto"/>
        </w:rPr>
      </w:pPr>
      <w:r>
        <w:rPr>
          <w:color w:val="auto"/>
        </w:rPr>
        <w:t>6.8 甲方自行安排项目责任保险，并核验活动服务方相应保险。甲方可以在项目启动后依据实际方案确定企业保险的具体险种、保额、币种、承保范围及保险人。适用保障应当于首次由甲方安排的接送或者项目活动开始前生效，以较早者为准；本协议不表示甲方已经投保。成员保险不免除甲方的安全保障、服务方审核、成员保护及紧急处置义务，也不减免甲方依法应承担的责任。</w:t>
      </w:r>
    </w:p>
    <w:p w14:paraId="0086E2A7">
      <w:pPr>
        <w:keepNext w:val="0"/>
        <w:rPr>
          <w:color w:val="auto"/>
        </w:rPr>
      </w:pPr>
      <w:r>
        <w:rPr>
          <w:rFonts w:ascii="DejaVu Sans" w:hAnsi="DejaVu Sans" w:eastAsia="Noto Sans CJK SC" w:cs="DejaVu Sans"/>
          <w:b w:val="0"/>
          <w:color w:val="auto"/>
          <w:lang w:val="en-GB" w:eastAsia="zh-CN"/>
        </w:rPr>
        <w:t>6.8 The Provider arranges programme liability insurance and reviews relevant activity-provider insurance. Company policy type, limits, currency, scope and insurer may be settled after project activation according to the actual plan, with the applicable cover effective before the first transfers or programme activities arranged by the Provider begin, whichever is earlier. This Agreement does not state that a policy has already been purchased. Member insurance does not replace the Provider’s safety, provider-review, safeguarding or emergency duties or reduce the Provider’s legal responsibility.</w:t>
      </w:r>
    </w:p>
    <w:p w14:paraId="45F0874D">
      <w:pPr>
        <w:pStyle w:val="3"/>
        <w:keepNext/>
        <w:rPr>
          <w:color w:val="auto"/>
        </w:rPr>
      </w:pPr>
      <w:r>
        <w:rPr>
          <w:rFonts w:ascii="Noto Sans CJK SC" w:hAnsi="Noto Sans CJK SC" w:eastAsia="Noto Sans CJK SC" w:cs="Noto Sans CJK SC"/>
          <w:b w:val="0"/>
          <w:color w:val="auto"/>
          <w:lang w:val="en-GB" w:eastAsia="zh-CN"/>
        </w:rPr>
        <w:t>7 手机保管与安全设备</w:t>
      </w:r>
    </w:p>
    <w:p w14:paraId="291EF7BE">
      <w:pPr>
        <w:pStyle w:val="4"/>
        <w:keepNext/>
        <w:spacing w:before="0"/>
        <w:rPr>
          <w:color w:val="auto"/>
        </w:rPr>
      </w:pPr>
      <w:r>
        <w:rPr>
          <w:rFonts w:ascii="DejaVu Sans" w:hAnsi="DejaVu Sans" w:eastAsia="Noto Sans CJK SC" w:cs="DejaVu Sans"/>
          <w:b w:val="0"/>
          <w:color w:val="auto"/>
          <w:lang w:val="en-GB" w:eastAsia="zh-CN"/>
        </w:rPr>
        <w:t>Phone custody and safety devices</w:t>
      </w:r>
    </w:p>
    <w:p w14:paraId="25AC2AE3">
      <w:pPr>
        <w:keepNext/>
        <w:rPr>
          <w:color w:val="auto"/>
        </w:rPr>
      </w:pPr>
      <w:r>
        <w:rPr>
          <w:color w:val="auto"/>
        </w:rPr>
        <w:t>7.1 成员的个人手机应当在项目入住时关机并按成员分别标识；甲方应当妥善保管，并于离营时归还；甲方应当就手机的接收和存放情况留存记录。仅在出现具体必要事项时，成员方可经甲方工作人员批准临时使用，包括：出行或者身份验证事务、严重家庭事件、健康或者成员保护需要，以及其他确有需要且不使用设备无法合理处理的事项。甲方记录临时取用的原因、批准人、取出时间、归还时间及重新入库情况；临时取用不视为手机已正式归还。甲方工作人员不得查阅手机内的通话记录、消息、照片或者其他内容。因不可归责于甲方的事由或物品自身性质发生的遗失或损坏，由成员及未成年成员的监护人承担；甲方依法应承担的保管责任不因本条免除。</w:t>
      </w:r>
    </w:p>
    <w:p w14:paraId="271334F4">
      <w:pPr>
        <w:keepNext w:val="0"/>
        <w:rPr>
          <w:color w:val="auto"/>
        </w:rPr>
      </w:pPr>
      <w:r>
        <w:rPr>
          <w:rFonts w:ascii="DejaVu Sans" w:hAnsi="DejaVu Sans" w:eastAsia="Noto Sans CJK SC" w:cs="DejaVu Sans"/>
          <w:b w:val="0"/>
          <w:color w:val="auto"/>
          <w:lang w:val="en-GB" w:eastAsia="zh-CN"/>
        </w:rPr>
        <w:t>7.1 At check-in, the Member’s personal phone is powered off and individually identified by Member, kept in the Provider’s proper custody, and returned at departure; the Provider must keep records of receipt and storage. Temporary use is permitted only where a specific necessity arises, subject to approval by the Provider’s staff, including: travel or identity-verification matters, a serious family event, health or safeguarding needs, and other necessities that genuinely cannot reasonably be handled without the device. The Provider records the reason for temporary use, the approving person, the times of issue and return and the re-storage; temporary use does not count as the phone having been formally returned. Staff must not inspect the call records, messages, photographs or other content on a phone. Loss or damage due to a cause not attributable to the Provider or to the nature of the item is borne by the Member and, for a minor, the guardian. This clause does not exclude the Provider’s legal custody responsibilities.</w:t>
      </w:r>
    </w:p>
    <w:p w14:paraId="2E0FA7D6">
      <w:pPr>
        <w:keepNext/>
        <w:rPr>
          <w:color w:val="auto"/>
        </w:rPr>
      </w:pPr>
      <w:r>
        <w:rPr>
          <w:color w:val="auto"/>
        </w:rPr>
        <w:t>7.2 甲方为每位成员配发 GPS／SOS 安全手环，作为辅助安全工具，该设备不用于持续监控，也不承诺始终联网、实时位置准确或者仅凭该设备即可完成紧急救援。监护人不得无限制地查看成员的位置信息。甲方应当在项目启动后确定具体设备、服务方、测试、网络和数据处理安排，并在处理定位信息前完成适用的告知、取得单独同意及办理其他法定手续；仅授权工作人员可以因实际安全需要访问位置信息。成员应当在离营时归还手环；因成员原因发生损坏或者遗失的，由成员及未成年成员的监护人承担。成员在项目期间失联的，甲方应当立即启动查找和处置程序，并及时联系未成年成员的监护人。设备安排不免除甲方人工照看、交接及紧急处置的义务。</w:t>
      </w:r>
    </w:p>
    <w:p w14:paraId="033A37FC">
      <w:pPr>
        <w:keepNext w:val="0"/>
        <w:rPr>
          <w:color w:val="auto"/>
        </w:rPr>
      </w:pPr>
      <w:r>
        <w:rPr>
          <w:rFonts w:ascii="DejaVu Sans" w:hAnsi="DejaVu Sans" w:eastAsia="Noto Sans CJK SC" w:cs="DejaVu Sans"/>
          <w:b w:val="0"/>
          <w:color w:val="auto"/>
          <w:lang w:val="en-GB" w:eastAsia="zh-CN"/>
        </w:rPr>
        <w:t>7.2 The Provider issues each Member a GPS/SOS safety wristband as an additional safety tool, the device is not used for continuous monitoring and does not constitute a promise of constant connectivity, accurate real-time location or rescue by the device alone. A guardian is not entitled to unrestricted access to the Member’s location information. The device, provider, testing, network and data arrangements are settled after project activation. Applicable notice, separate consent and other legal steps must precede location processing; access is restricted to authorised staff with an actual safety need. The Member must return the wristband at departure; damage or loss caused by the Member is borne by the Member and, for a minor, the guardian. If a Member cannot be reached during the programme, the Provider must immediately start search and response procedures and promptly contact the minor’s guardian. Devices do not replace human supervision, handover or emergency procedures.</w:t>
      </w:r>
    </w:p>
    <w:p w14:paraId="58348B48">
      <w:pPr>
        <w:keepNext/>
        <w:rPr>
          <w:color w:val="auto"/>
        </w:rPr>
      </w:pPr>
      <w:r>
        <w:rPr>
          <w:color w:val="auto"/>
        </w:rPr>
        <w:t>7.3 甲方应至迟于抵达前七日提供正式紧急联络渠道及备用渠道，并将具体联系人、电话和服务时段列入附表 A。成员个人手机及手环不作为家庭的常规联络渠道。成员可通过甲方工作人员提出与监护人联系的合理请求；甲方不承诺成员即时回复，也不安排每日固定的亲子通话。</w:t>
      </w:r>
    </w:p>
    <w:p w14:paraId="0447566B">
      <w:pPr>
        <w:keepNext w:val="0"/>
        <w:rPr>
          <w:color w:val="auto"/>
        </w:rPr>
      </w:pPr>
      <w:r>
        <w:rPr>
          <w:rFonts w:ascii="DejaVu Sans" w:hAnsi="DejaVu Sans" w:eastAsia="Noto Sans CJK SC" w:cs="DejaVu Sans"/>
          <w:b w:val="0"/>
          <w:color w:val="auto"/>
          <w:lang w:val="en-GB" w:eastAsia="zh-CN"/>
        </w:rPr>
        <w:t>7.3 By no later than seven days before arrival, the Provider must supply an official urgent-contact route and a backup route. Names, telephone numbers and service hours are recorded in Schedule A. The Member’s phone and wristband are not routine family-contact channels. A Member may make a reasonable request through the Provider’s staff to contact the guardian; the Provider does not promise immediate replies from the Member and does not arrange fixed daily family calls.</w:t>
      </w:r>
    </w:p>
    <w:p w14:paraId="0D9570C2">
      <w:pPr>
        <w:pStyle w:val="3"/>
        <w:keepNext/>
        <w:rPr>
          <w:color w:val="auto"/>
        </w:rPr>
      </w:pPr>
      <w:r>
        <w:rPr>
          <w:rFonts w:ascii="Noto Sans CJK SC" w:hAnsi="Noto Sans CJK SC" w:eastAsia="Noto Sans CJK SC" w:cs="Noto Sans CJK SC"/>
          <w:b w:val="0"/>
          <w:color w:val="auto"/>
          <w:lang w:val="en-GB" w:eastAsia="zh-CN"/>
        </w:rPr>
        <w:t>8 个人信息与摄影选择</w:t>
      </w:r>
    </w:p>
    <w:p w14:paraId="65441673">
      <w:pPr>
        <w:pStyle w:val="4"/>
        <w:keepNext/>
        <w:spacing w:before="0"/>
        <w:rPr>
          <w:color w:val="auto"/>
        </w:rPr>
      </w:pPr>
      <w:r>
        <w:rPr>
          <w:rFonts w:ascii="DejaVu Sans" w:hAnsi="DejaVu Sans" w:eastAsia="Noto Sans CJK SC" w:cs="DejaVu Sans"/>
          <w:b w:val="0"/>
          <w:color w:val="auto"/>
          <w:lang w:val="en-GB" w:eastAsia="zh-CN"/>
        </w:rPr>
        <w:t>Personal information and photography choices</w:t>
      </w:r>
    </w:p>
    <w:p w14:paraId="79077645">
      <w:pPr>
        <w:keepNext/>
        <w:rPr>
          <w:color w:val="auto"/>
        </w:rPr>
      </w:pPr>
      <w:r>
        <w:rPr>
          <w:color w:val="auto"/>
        </w:rPr>
        <w:t>8.1 甲方应在收集个人信息前提供清晰的隐私说明，向成员及未成年成员的监护人告知处理目的、信息种类、保存期限、服务方及行使权利的方式，并采取适当保护措施。甲方应当为基于同意的处理提供便捷的撤回渠道；成员及未成年成员的监护人可随时撤回同意。撤回同意不影响撤回前基于同意已进行的个人信息处理活动的效力。敏感健康信息、定位信息、对外提供及跨境处理，甲方须按实际情形完成法律要求的告知、单独同意及其他手续。本协议的签署不免除甲方完成前述告知、取得单独同意及办理其他法定手续的义务。</w:t>
      </w:r>
    </w:p>
    <w:p w14:paraId="7B034E4C">
      <w:pPr>
        <w:keepNext w:val="0"/>
        <w:rPr>
          <w:color w:val="auto"/>
        </w:rPr>
      </w:pPr>
      <w:r>
        <w:rPr>
          <w:rFonts w:ascii="DejaVu Sans" w:hAnsi="DejaVu Sans" w:eastAsia="Noto Sans CJK SC" w:cs="DejaVu Sans"/>
          <w:b w:val="0"/>
          <w:color w:val="auto"/>
          <w:lang w:val="en-GB" w:eastAsia="zh-CN"/>
        </w:rPr>
        <w:t>8.1 Before collecting personal information, the Provider must supply a clear Privacy Notice explaining purposes, categories, retention, service providers and rights, and implement appropriate safeguards. The Provider must provide an accessible withdrawal route for consent-based processing; the Member and, for a minor, the guardian may withdraw consent at any time. Withdrawal of consent does not affect the effect of personal-information processing already carried out on the basis of that consent before withdrawal. Sensitive health and location information, disclosures and cross-border processing require the notices, separate consent and other steps applicable to the actual arrangement. Signing this Agreement does not relieve the Provider of its obligation to give the notices, obtain separate consent and complete the other legal formalities set out above.</w:t>
      </w:r>
    </w:p>
    <w:p w14:paraId="76A39D76">
      <w:pPr>
        <w:keepNext/>
        <w:rPr>
          <w:color w:val="auto"/>
        </w:rPr>
      </w:pPr>
      <w:r>
        <w:rPr>
          <w:color w:val="auto"/>
        </w:rPr>
        <w:t>8.2 项目摄影与公开宣传，应当由成员或者未成年成员的监护人分别作出独立、自愿、明确的选择，甲方不得预先勾选；成员或者未成年成员的监护人拒绝的，不影响录取、玉榕奖、项目资格或者参与。项目摄影授权不包含公开宣传。宣传用途及参加期次结束后 24 个月内的使用期限以《宣传媒体授权》为准；付费广告、第三方授权、AI 训练或人脸识别、完整法定姓名、评价／证言及可识别声音等未列入的用途，甲方须另行取得具体授权。撤回方式及处理，由成员或者未成年成员的监护人依照相应单独授权文件办理。成员或者未成年成员的监护人在《项目摄影授权》《宣传媒体授权》中选择同意的，甲方可以在该等授权约定的范围内使用包含成员可识别形象的照片、视频。项目摄影、摄像作品的著作权及使用许可，由甲方与摄影方另行书面约定；成员在项目期间创作的作品，著作权归创作者本人。签署本协议不构成《项目摄影授权》或《宣传媒体授权》项下的同意；相关选择由成员或者未成年成员的监护人在相应的授权文件上另行作出并签署，甲方留存对应文件版本。</w:t>
      </w:r>
    </w:p>
    <w:p w14:paraId="169DB172">
      <w:pPr>
        <w:keepNext w:val="0"/>
        <w:rPr>
          <w:color w:val="auto"/>
        </w:rPr>
      </w:pPr>
      <w:r>
        <w:rPr>
          <w:rFonts w:ascii="DejaVu Sans" w:hAnsi="DejaVu Sans" w:eastAsia="Noto Sans CJK SC" w:cs="DejaVu Sans"/>
          <w:b w:val="0"/>
          <w:color w:val="auto"/>
          <w:lang w:val="en-GB" w:eastAsia="zh-CN"/>
        </w:rPr>
        <w:t>8.2 Programme photography and public promotion require separate, voluntary and express choices, and the Provider must not preselect any option; a refusal by the Member or, for a minor, the guardian does not affect admission, a Jade Banyan Fellowship, eligibility or participation. Programme photography consent does not include public promotion automatically. Promotional scope and the period of up to twenty-four months after the Member’s cohort ends follow the Promotional Media Consent. Excluded uses, including paid advertising, third-party licensing, AI training or facial recognition, full legal name, testimonials and identifiable voice, require separate specific authorisation. Withdrawal and its handling follow the relevant Separate Authorisation Document. Where the Member or, for a minor, the guardian consents under the Programme Photography Consent and the Promotional Media Consent, the Provider may use photographs and videos containing the Member’s identifiable image within the scope agreed in those consents. Copyright in programme photography and video works and the licence to use them are agreed separately in writing between the Provider and the photographer; copyright in works created by a Member during the programme belongs to the creator. Signing this Agreement does not constitute consent under the Programme Photography Consent or the Promotional Media Consent. Those choices are made and signed separately by the Member or, for a minor, the guardian in the corresponding consent documents, and the Provider retains the corresponding document versions.</w:t>
      </w:r>
    </w:p>
    <w:p w14:paraId="3CAA6AA9">
      <w:pPr>
        <w:keepNext/>
        <w:rPr>
          <w:color w:val="auto"/>
        </w:rPr>
      </w:pPr>
      <w:r>
        <w:rPr>
          <w:color w:val="auto"/>
        </w:rPr>
        <w:t>8.3 隐私及授权请求可联系 admissions@jadebanyansociety.com。摄影和宣传的同意或者拒绝，由成员或者未成年成员的监护人签署，甲方留存对应文件版本；附表 D 仅记录文件交付及办理情况，不作为摄影、定位或健康信息的概括授权。</w:t>
      </w:r>
    </w:p>
    <w:p w14:paraId="22B8CEF7">
      <w:pPr>
        <w:keepNext w:val="0"/>
        <w:rPr>
          <w:color w:val="auto"/>
        </w:rPr>
      </w:pPr>
      <w:r>
        <w:rPr>
          <w:rFonts w:ascii="DejaVu Sans" w:hAnsi="DejaVu Sans" w:eastAsia="Noto Sans CJK SC" w:cs="DejaVu Sans"/>
          <w:b w:val="0"/>
          <w:color w:val="auto"/>
          <w:lang w:val="en-GB" w:eastAsia="zh-CN"/>
        </w:rPr>
        <w:t>8.3 Privacy and consent requests may be sent to admissions@jadebanyansociety.com. Consent or refusal for photography and promotion is signed by the Member or, for a minor, the guardian, and the Provider retains the corresponding document versions. Schedule D records document delivery and completion only; it is not blanket authorisation for photography, location or health information.</w:t>
      </w:r>
    </w:p>
    <w:p w14:paraId="727E5D28">
      <w:pPr>
        <w:pStyle w:val="3"/>
        <w:keepNext/>
        <w:rPr>
          <w:color w:val="auto"/>
        </w:rPr>
      </w:pPr>
      <w:r>
        <w:rPr>
          <w:rFonts w:ascii="Noto Sans CJK SC" w:hAnsi="Noto Sans CJK SC" w:eastAsia="Noto Sans CJK SC" w:cs="Noto Sans CJK SC"/>
          <w:b w:val="0"/>
          <w:color w:val="auto"/>
          <w:lang w:val="en-GB" w:eastAsia="zh-CN"/>
        </w:rPr>
        <w:t>9 项目调整与服务变更</w:t>
      </w:r>
    </w:p>
    <w:p w14:paraId="5870C98F">
      <w:pPr>
        <w:pStyle w:val="4"/>
        <w:keepNext/>
        <w:spacing w:before="0"/>
        <w:rPr>
          <w:color w:val="auto"/>
        </w:rPr>
      </w:pPr>
      <w:r>
        <w:rPr>
          <w:rFonts w:ascii="DejaVu Sans" w:hAnsi="DejaVu Sans" w:eastAsia="Noto Sans CJK SC" w:cs="DejaVu Sans"/>
          <w:b w:val="0"/>
          <w:color w:val="auto"/>
          <w:lang w:val="en-GB" w:eastAsia="zh-CN"/>
        </w:rPr>
        <w:t>Programme adjustments and service changes</w:t>
      </w:r>
    </w:p>
    <w:p w14:paraId="35CC9C1F">
      <w:pPr>
        <w:keepNext/>
        <w:rPr>
          <w:color w:val="auto"/>
        </w:rPr>
      </w:pPr>
      <w:r>
        <w:rPr>
          <w:rFonts w:ascii="Noto Sans CJK SC" w:hAnsi="Noto Sans CJK SC" w:eastAsia="Noto Sans CJK SC" w:cs="Noto Sans CJK SC"/>
          <w:b w:val="0"/>
          <w:color w:val="auto"/>
          <w:lang w:val="en-GB" w:eastAsia="zh-CN"/>
        </w:rPr>
        <w:t>9.1 因天气、安全、服务方安排或者成员资格等原因需要调整的，甲方可以对个别活动、时间、路线或者人员作合理调整，并应当尽可能提前向成员及未成年成员的监护人说明原因及替代安排。甲方依前款作出调整的，不得降低已约定核心服务的实质标准，也不得据此缩减核心服务或者单方加价。</w:t>
      </w:r>
    </w:p>
    <w:p w14:paraId="2AE21EBF">
      <w:pPr>
        <w:keepNext w:val="0"/>
        <w:rPr>
          <w:color w:val="auto"/>
        </w:rPr>
      </w:pPr>
      <w:r>
        <w:rPr>
          <w:rFonts w:ascii="DejaVu Sans" w:hAnsi="DejaVu Sans" w:eastAsia="Noto Sans CJK SC" w:cs="DejaVu Sans"/>
          <w:b w:val="0"/>
          <w:color w:val="auto"/>
          <w:lang w:val="en-GB" w:eastAsia="zh-CN"/>
        </w:rPr>
        <w:t>9.1 Weather, safety, actual provider arrangements or Member eligibility may require reasonable adjustments to individual activities, timing, routes or personnel. The Provider should explain the reasons and alternatives in advance where practicable. Adjustments must maintain the substantive standard of the agreed services and cannot justify arbitrary reductions in core services or unilateral price increases.</w:t>
      </w:r>
    </w:p>
    <w:p w14:paraId="454CA158">
      <w:pPr>
        <w:keepNext/>
        <w:rPr>
          <w:color w:val="auto"/>
        </w:rPr>
      </w:pPr>
      <w:r>
        <w:rPr>
          <w:rFonts w:ascii="Noto Sans CJK SC" w:hAnsi="Noto Sans CJK SC" w:eastAsia="Noto Sans CJK SC" w:cs="Noto Sans CJK SC"/>
          <w:b w:val="0"/>
          <w:color w:val="auto"/>
          <w:lang w:val="en-GB" w:eastAsia="zh-CN"/>
        </w:rPr>
        <w:t>9.2 如拟改变已确认期次、核心服务、主要地点或显著降低住宿及服务标准，甲方应书面提出变更，由双方确认；涉及安全的紧急措施，甲方可以先行实施并及时说明。如变更使合同目的无法实现或乙方依法享有解除权，甲方应当按照法律及第 10 条处理退款和责任，不得仅以某项活动属于可选活动为由排除乙方的全部救济。</w:t>
      </w:r>
    </w:p>
    <w:p w14:paraId="445537D4">
      <w:pPr>
        <w:keepNext w:val="0"/>
        <w:rPr>
          <w:color w:val="auto"/>
        </w:rPr>
      </w:pPr>
      <w:r>
        <w:rPr>
          <w:rFonts w:ascii="DejaVu Sans" w:hAnsi="DejaVu Sans" w:eastAsia="Noto Sans CJK SC" w:cs="DejaVu Sans"/>
          <w:b w:val="0"/>
          <w:color w:val="auto"/>
          <w:lang w:val="en-GB" w:eastAsia="zh-CN"/>
        </w:rPr>
        <w:t>9.2 A proposed change to confirmed dates, core services or principal location, or a substantial reduction in accommodation or service standards, must be proposed in writing for agreement. Urgent safety measures may be implemented first with prompt explanation. If a change defeats the contractual purpose or gives the Member a legal right to terminate, refunds and responsibility follow law and clause 10. Describing one activity as optional does not exclude all remedies.</w:t>
      </w:r>
    </w:p>
    <w:p w14:paraId="316B34E1">
      <w:pPr>
        <w:pStyle w:val="3"/>
        <w:keepNext/>
        <w:rPr>
          <w:color w:val="auto"/>
        </w:rPr>
      </w:pPr>
      <w:r>
        <w:rPr>
          <w:rFonts w:ascii="Noto Sans CJK SC" w:hAnsi="Noto Sans CJK SC" w:eastAsia="Noto Sans CJK SC" w:cs="Noto Sans CJK SC"/>
          <w:b w:val="0"/>
          <w:color w:val="auto"/>
          <w:lang w:val="en-GB" w:eastAsia="zh-CN"/>
        </w:rPr>
        <w:t>10 取消、提前离开与退款</w:t>
      </w:r>
    </w:p>
    <w:p w14:paraId="0D15BF6A">
      <w:pPr>
        <w:pStyle w:val="4"/>
        <w:keepNext/>
        <w:spacing w:before="0"/>
        <w:rPr>
          <w:color w:val="auto"/>
        </w:rPr>
      </w:pPr>
      <w:r>
        <w:rPr>
          <w:rFonts w:ascii="DejaVu Sans" w:hAnsi="DejaVu Sans" w:eastAsia="Noto Sans CJK SC" w:cs="DejaVu Sans"/>
          <w:b w:val="0"/>
          <w:color w:val="auto"/>
          <w:lang w:val="en-GB" w:eastAsia="zh-CN"/>
        </w:rPr>
        <w:t>Cancellation, early departure and refunds</w:t>
      </w:r>
    </w:p>
    <w:p w14:paraId="5A1309B5">
      <w:pPr>
        <w:keepNext/>
        <w:rPr>
          <w:color w:val="auto"/>
        </w:rPr>
      </w:pPr>
      <w:r>
        <w:rPr>
          <w:color w:val="auto"/>
        </w:rPr>
        <w:t>10.1 成员或者未成年成员的监护人取消的，应当通过第 12 条正式渠道书面提出，甲方应当记录可核实的接收时间。退款时点以成员录取文件及附表 A 载明的项目开始日期和海南当地时间（UTC+8）为准，两者应当一致。尚未确认的开营日期不得作为计算取消扣费的依据。依法不得排除的退款、解除、经营者违约及其他消费者权利优先适用。</w:t>
      </w:r>
    </w:p>
    <w:p w14:paraId="54F52F43">
      <w:pPr>
        <w:keepNext w:val="0"/>
        <w:rPr>
          <w:color w:val="auto"/>
        </w:rPr>
      </w:pPr>
      <w:r>
        <w:rPr>
          <w:rFonts w:ascii="DejaVu Sans" w:hAnsi="DejaVu Sans" w:eastAsia="Noto Sans CJK SC" w:cs="DejaVu Sans"/>
          <w:b w:val="0"/>
          <w:color w:val="auto"/>
          <w:lang w:val="en-GB" w:eastAsia="zh-CN"/>
        </w:rPr>
        <w:t>10.1 Where the Member or, for a minor, the guardian cancels, the cancellation must be submitted in writing through the official channel in clause 12, recording verifiable receipt. Refund timing uses the programme commencement date and Hainan local time (UTC+8) stated consistently in the Member’s offer documents and Schedule A. An unconfirmed commencement date cannot be used to calculate cancellation charges. Non-excludable refund, termination, Provider-breach remedies and other consumer rights take priority.</w:t>
      </w:r>
    </w:p>
    <w:p w14:paraId="73457010">
      <w:pPr>
        <w:keepNext/>
        <w:rPr>
          <w:color w:val="auto"/>
        </w:rPr>
      </w:pPr>
      <w:r>
        <w:rPr>
          <w:color w:val="auto"/>
        </w:rPr>
        <w:t>10.2 成员或者未成年成员的监护人主动取消的常规退款安排如下，但须受第 10.1、10.3 及 10.6 条和《取消与退款政策》所列例外约束，不得以该表排除法定权利。</w:t>
      </w:r>
    </w:p>
    <w:p w14:paraId="0410BAB3">
      <w:pPr>
        <w:keepNext w:val="0"/>
        <w:rPr>
          <w:color w:val="auto"/>
        </w:rPr>
      </w:pPr>
      <w:r>
        <w:rPr>
          <w:rFonts w:ascii="DejaVu Sans" w:hAnsi="DejaVu Sans" w:eastAsia="Noto Sans CJK SC" w:cs="DejaVu Sans"/>
          <w:b/>
          <w:color w:val="auto"/>
          <w:lang w:val="en-GB" w:eastAsia="zh-CN"/>
        </w:rPr>
        <w:t>10.2 The following ordinary arrangements apply to cancellation by the Member or, for a minor, the guardian, subject to clauses 10.1, 10.3 and 10.6 and the exceptions in the Cancellation &amp; Refund Policy. The table does not exclude statutory rights.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100" w:type="dxa"/>
          <w:left w:w="115" w:type="dxa"/>
          <w:bottom w:w="100" w:type="dxa"/>
          <w:right w:w="115" w:type="dxa"/>
        </w:tblCellMar>
      </w:tblPr>
      <w:tblGrid>
        <w:gridCol w:w="3240"/>
        <w:gridCol w:w="6754"/>
      </w:tblGrid>
      <w:tr w14:paraId="16998548">
        <w:trPr>
          <w:cantSplit/>
          <w:tblHeader/>
          <w:jc w:val="center"/>
        </w:trPr>
        <w:tc>
          <w:tcPr>
            <w:tcW w:w="3240" w:type="dxa"/>
            <w:shd w:val="clear" w:color="auto" w:fill="E7EBE8"/>
            <w:vAlign w:val="center"/>
          </w:tcPr>
          <w:p w14:paraId="552E58E1">
            <w:pPr>
              <w:keepNext w:val="0"/>
              <w:spacing w:after="40" w:line="300" w:lineRule="exact"/>
              <w:rPr>
                <w:color w:val="auto"/>
              </w:rPr>
            </w:pPr>
            <w:r>
              <w:rPr>
                <w:rFonts w:ascii="Noto Sans CJK SC" w:hAnsi="Noto Sans CJK SC" w:eastAsia="Noto Sans CJK SC" w:cs="Noto Sans CJK SC"/>
                <w:b/>
                <w:color w:val="auto"/>
                <w:sz w:val="21"/>
                <w:lang w:val="en-GB" w:eastAsia="zh-CN"/>
              </w:rPr>
              <w:t>成员取消时间</w:t>
            </w:r>
            <w:r>
              <w:rPr>
                <w:rFonts w:ascii="Noto Sans CJK SC" w:hAnsi="Noto Sans CJK SC" w:eastAsia="Noto Sans CJK SC" w:cs="Noto Sans CJK SC"/>
                <w:b/>
                <w:color w:val="auto"/>
                <w:sz w:val="21"/>
                <w:lang w:val="en-GB" w:eastAsia="zh-CN"/>
              </w:rPr>
              <w:br w:type="textWrapping"/>
            </w:r>
            <w:r>
              <w:rPr>
                <w:rFonts w:ascii="Noto Sans CJK SC" w:hAnsi="Noto Sans CJK SC" w:eastAsia="Noto Sans CJK SC" w:cs="Noto Sans CJK SC"/>
                <w:b/>
                <w:color w:val="auto"/>
                <w:sz w:val="21"/>
                <w:lang w:val="en-GB" w:eastAsia="zh-CN"/>
              </w:rPr>
              <w:t>Member cancellation timing</w:t>
            </w:r>
          </w:p>
        </w:tc>
        <w:tc>
          <w:tcPr>
            <w:tcW w:w="6754" w:type="dxa"/>
            <w:shd w:val="clear" w:color="auto" w:fill="E7EBE8"/>
            <w:vAlign w:val="center"/>
          </w:tcPr>
          <w:p w14:paraId="4EA4BB5D">
            <w:pPr>
              <w:keepNext w:val="0"/>
              <w:spacing w:after="40" w:line="300" w:lineRule="exact"/>
              <w:rPr>
                <w:color w:val="auto"/>
              </w:rPr>
            </w:pPr>
            <w:r>
              <w:rPr>
                <w:rFonts w:ascii="Noto Sans CJK SC" w:hAnsi="Noto Sans CJK SC" w:eastAsia="Noto Sans CJK SC" w:cs="Noto Sans CJK SC"/>
                <w:b/>
                <w:color w:val="auto"/>
                <w:sz w:val="21"/>
                <w:lang w:val="en-GB" w:eastAsia="zh-CN"/>
              </w:rPr>
              <w:t>常规退款安排</w:t>
            </w:r>
            <w:r>
              <w:rPr>
                <w:rFonts w:ascii="Noto Sans CJK SC" w:hAnsi="Noto Sans CJK SC" w:eastAsia="Noto Sans CJK SC" w:cs="Noto Sans CJK SC"/>
                <w:b/>
                <w:color w:val="auto"/>
                <w:sz w:val="21"/>
                <w:lang w:val="en-GB" w:eastAsia="zh-CN"/>
              </w:rPr>
              <w:br w:type="textWrapping"/>
            </w:r>
            <w:r>
              <w:rPr>
                <w:rFonts w:ascii="Noto Sans CJK SC" w:hAnsi="Noto Sans CJK SC" w:eastAsia="Noto Sans CJK SC" w:cs="Noto Sans CJK SC"/>
                <w:b/>
                <w:color w:val="auto"/>
                <w:sz w:val="21"/>
                <w:lang w:val="en-GB" w:eastAsia="zh-CN"/>
              </w:rPr>
              <w:t>Ordinary refund arrangement</w:t>
            </w:r>
          </w:p>
        </w:tc>
      </w:tr>
      <w:tr w14:paraId="2ABBF49D">
        <w:trPr>
          <w:cantSplit/>
          <w:jc w:val="center"/>
        </w:trPr>
        <w:tc>
          <w:tcPr>
            <w:tcW w:w="3240" w:type="dxa"/>
            <w:vAlign w:val="center"/>
          </w:tcPr>
          <w:p w14:paraId="0F5B4EB4">
            <w:pPr>
              <w:keepNext w:val="0"/>
              <w:spacing w:after="40" w:line="300" w:lineRule="exact"/>
              <w:rPr>
                <w:color w:val="auto"/>
              </w:rPr>
            </w:pPr>
            <w:r>
              <w:rPr>
                <w:rFonts w:ascii="Noto Sans CJK SC" w:hAnsi="Noto Sans CJK SC" w:eastAsia="Noto Sans CJK SC" w:cs="Noto Sans CJK SC"/>
                <w:b w:val="0"/>
                <w:color w:val="auto"/>
                <w:sz w:val="21"/>
                <w:lang w:val="en-GB" w:eastAsia="zh-CN"/>
              </w:rPr>
              <w:t>项目开始前超过30个自然日</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More than 30 calendar days before commencement</w:t>
            </w:r>
          </w:p>
        </w:tc>
        <w:tc>
          <w:tcPr>
            <w:tcW w:w="6754" w:type="dxa"/>
            <w:vAlign w:val="center"/>
          </w:tcPr>
          <w:p w14:paraId="2098361C">
            <w:pPr>
              <w:keepNext w:val="0"/>
              <w:spacing w:after="40" w:line="300" w:lineRule="exact"/>
              <w:rPr>
                <w:color w:val="auto"/>
              </w:rPr>
            </w:pPr>
            <w:r>
              <w:rPr>
                <w:rFonts w:ascii="Noto Sans CJK SC" w:hAnsi="Noto Sans CJK SC" w:eastAsia="Noto Sans CJK SC" w:cs="Noto Sans CJK SC"/>
                <w:b w:val="0"/>
                <w:color w:val="auto"/>
                <w:sz w:val="21"/>
                <w:lang w:val="en-GB" w:eastAsia="zh-CN"/>
              </w:rPr>
              <w:t>甲方退还已付项目费，美元订单扣除 US$1,000，人民币订单扣除 RMB 7,000；扣费金额不超过已付项目费。
Refund fee paid less US$1,000 for USD bookings or RMB 7,000 for RMB bookings, capped at the fee paid.</w:t>
            </w:r>
          </w:p>
        </w:tc>
      </w:tr>
      <w:tr w14:paraId="35DD26E3">
        <w:trPr>
          <w:cantSplit/>
          <w:jc w:val="center"/>
        </w:trPr>
        <w:tc>
          <w:tcPr>
            <w:tcW w:w="3240" w:type="dxa"/>
            <w:vAlign w:val="center"/>
          </w:tcPr>
          <w:p w14:paraId="0990567F">
            <w:pPr>
              <w:keepNext w:val="0"/>
              <w:spacing w:after="40" w:line="300" w:lineRule="exact"/>
              <w:rPr>
                <w:color w:val="auto"/>
              </w:rPr>
            </w:pPr>
            <w:r>
              <w:rPr>
                <w:rFonts w:ascii="Noto Sans CJK SC" w:hAnsi="Noto Sans CJK SC" w:eastAsia="Noto Sans CJK SC" w:cs="Noto Sans CJK SC"/>
                <w:b w:val="0"/>
                <w:color w:val="auto"/>
                <w:sz w:val="21"/>
                <w:lang w:val="en-GB" w:eastAsia="zh-CN"/>
              </w:rPr>
              <w:t>项目开始前30个自然日或以内</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30 calendar days or fewer before commencement</w:t>
            </w:r>
          </w:p>
        </w:tc>
        <w:tc>
          <w:tcPr>
            <w:tcW w:w="6754" w:type="dxa"/>
            <w:vAlign w:val="center"/>
          </w:tcPr>
          <w:p w14:paraId="6F7AC735">
            <w:pPr>
              <w:keepNext w:val="0"/>
              <w:spacing w:after="40" w:line="300" w:lineRule="exact"/>
              <w:rPr>
                <w:color w:val="auto"/>
              </w:rPr>
            </w:pPr>
            <w:r>
              <w:rPr>
                <w:rFonts w:ascii="Noto Sans CJK SC" w:hAnsi="Noto Sans CJK SC" w:eastAsia="Noto Sans CJK SC" w:cs="Noto Sans CJK SC"/>
                <w:b w:val="0"/>
                <w:color w:val="auto"/>
                <w:sz w:val="21"/>
                <w:lang w:val="en-GB" w:eastAsia="zh-CN"/>
              </w:rPr>
              <w:t>退还已付项目费的50%。</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Refund 50% of the programme fee paid.</w:t>
            </w:r>
          </w:p>
        </w:tc>
      </w:tr>
      <w:tr w14:paraId="27F015C2">
        <w:trPr>
          <w:cantSplit/>
          <w:jc w:val="center"/>
        </w:trPr>
        <w:tc>
          <w:tcPr>
            <w:tcW w:w="3240" w:type="dxa"/>
            <w:vAlign w:val="center"/>
          </w:tcPr>
          <w:p w14:paraId="4B854C8E">
            <w:pPr>
              <w:keepNext w:val="0"/>
              <w:spacing w:after="40" w:line="300" w:lineRule="exact"/>
              <w:rPr>
                <w:color w:val="auto"/>
              </w:rPr>
            </w:pPr>
            <w:r>
              <w:rPr>
                <w:rFonts w:ascii="Noto Sans CJK SC" w:hAnsi="Noto Sans CJK SC" w:eastAsia="Noto Sans CJK SC" w:cs="Noto Sans CJK SC"/>
                <w:b w:val="0"/>
                <w:color w:val="auto"/>
                <w:sz w:val="21"/>
                <w:lang w:val="en-GB" w:eastAsia="zh-CN"/>
              </w:rPr>
              <w:t>项目开始后</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After commencement</w:t>
            </w:r>
          </w:p>
        </w:tc>
        <w:tc>
          <w:tcPr>
            <w:tcW w:w="6754" w:type="dxa"/>
            <w:vAlign w:val="center"/>
          </w:tcPr>
          <w:p w14:paraId="4E9CE8C1">
            <w:pPr>
              <w:keepNext w:val="0"/>
              <w:spacing w:after="40" w:line="300" w:lineRule="exact"/>
              <w:rPr>
                <w:color w:val="auto"/>
              </w:rPr>
            </w:pPr>
            <w:r>
              <w:rPr>
                <w:rFonts w:ascii="Noto Sans CJK SC" w:hAnsi="Noto Sans CJK SC" w:eastAsia="Noto Sans CJK SC" w:cs="Noto Sans CJK SC"/>
                <w:b w:val="0"/>
                <w:color w:val="auto"/>
                <w:sz w:val="21"/>
                <w:lang w:val="en-GB" w:eastAsia="zh-CN"/>
              </w:rPr>
              <w:t>原则上不退款，但公司取消或未提供核心服务、因疾病或行为原因提前离开的未履行服务，以及法律要求退款等情形除外。</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Ordinarily no refund, except company cancellation or failure of core services, unperformed services on early departure for illness or conduct, and legally required refunds.</w:t>
            </w:r>
          </w:p>
        </w:tc>
      </w:tr>
    </w:tbl>
    <w:p w14:paraId="783360CE">
      <w:pPr>
        <w:keepNext/>
        <w:rPr>
          <w:color w:val="auto"/>
        </w:rPr>
      </w:pPr>
      <w:r>
        <w:rPr>
          <w:color w:val="auto"/>
        </w:rPr>
        <w:t>10.3 成员因疾病、签证被拒、航班或者个人行程受阻以及自愿退出而取消的，适用同一常规退款安排，但甲方另行书面同意或者强制性法律另有规定的除外。项目开始后成员因疾病或行为原因提前离开的，已经履行的服务，甲方不予退还；未履行部分对应的费用，由甲方按第 10.6 条结算。</w:t>
      </w:r>
    </w:p>
    <w:p w14:paraId="206485E1">
      <w:pPr>
        <w:keepNext w:val="0"/>
        <w:rPr>
          <w:b w:val="0"/>
          <w:bCs/>
          <w:color w:val="auto"/>
        </w:rPr>
      </w:pPr>
      <w:r>
        <w:rPr>
          <w:rFonts w:ascii="DejaVu Sans" w:hAnsi="DejaVu Sans" w:eastAsia="Noto Sans CJK SC" w:cs="DejaVu Sans"/>
          <w:b w:val="0"/>
          <w:bCs/>
          <w:color w:val="auto"/>
          <w:lang w:val="en-GB" w:eastAsia="zh-CN"/>
        </w:rPr>
        <w:t>10.3 Illness, visa refusal, flight or personal-travel disruption and voluntary withdrawal follow the same ordinary refund arrangements, unless the Provider agrees otherwise in writing or mandatory law requires otherwise. Where the Member departs after commencement for illness or conduct-related reasons, performed services are not refunded and fees for unperformed services are settled under clause 10.6.</w:t>
      </w:r>
    </w:p>
    <w:p w14:paraId="5B7CED3D">
      <w:pPr>
        <w:keepNext/>
        <w:rPr>
          <w:color w:val="auto"/>
        </w:rPr>
      </w:pPr>
      <w:r>
        <w:rPr>
          <w:color w:val="auto"/>
        </w:rPr>
        <w:t>10.4 甲方取消整个项目的，已支付项目费用全额退还，包括因报名或筹备条件不足最终不开营的情形。甲方未按约定提供核心服务、违约、安全义务未履行、重大服务变更或者依法解除等情形，不受常规退款表的不合理限制。机票费、签证费、独立旅行费用、项目外住宿费用、间接损失及其他第三方费用不属于项目费退款范围；甲方违约或者其他依法应承担的责任不因此免除。甲方应及时书面通知取消并协助减少可避免损失，甲方不得未经成员及未成年成员的监护人同意，以延期、代金券或者转入其他期次替代退款。</w:t>
      </w:r>
    </w:p>
    <w:p w14:paraId="3E510F82">
      <w:pPr>
        <w:keepNext w:val="0"/>
        <w:rPr>
          <w:b w:val="0"/>
          <w:bCs/>
          <w:color w:val="auto"/>
        </w:rPr>
      </w:pPr>
      <w:r>
        <w:rPr>
          <w:rFonts w:ascii="DejaVu Sans" w:hAnsi="DejaVu Sans" w:eastAsia="Noto Sans CJK SC" w:cs="DejaVu Sans"/>
          <w:b w:val="0"/>
          <w:bCs/>
          <w:color w:val="auto"/>
          <w:lang w:val="en-GB" w:eastAsia="zh-CN"/>
        </w:rPr>
        <w:t>10.4 If the Provider cancels the entire programme, all programme fees paid are refunded in full, including where registration or preparation is insufficient for the cohort to operate. The Provider’s failure to provide agreed core services, breach, failure to perform safety duties, material service changes and lawful termination are not subject to the unreasonable restrictions of the ordinary refund table. Airfare, visas, independent travel, outside accommodation, consequential losses and other third-party costs are not automatically part of that programme-fee refund. Liability for Provider breach or other legally attributable circumstances is not thereby excluded. Notify cancellation promptly in writing and assist in mitigating avoidable loss. The Provider must not replace a refund with postponement, credit or another cohort without agreement.</w:t>
      </w:r>
    </w:p>
    <w:p w14:paraId="03DFA83E">
      <w:pPr>
        <w:keepNext/>
        <w:rPr>
          <w:color w:val="auto"/>
        </w:rPr>
      </w:pPr>
      <w:r>
        <w:rPr>
          <w:color w:val="auto"/>
        </w:rPr>
        <w:t>10.5 退款由授权财务人员受理及核对。甲方的退款扣费及汇率处理须有合法依据；缺乏依据的，甲方不得扣减。甲方应当及时确认收到申请，并向申请人说明所需资料、结算依据、应退金额及预计发起时间；甲方应当在收款前的录取文件和附表 A 中书面明确本期的具体退款发起期限，法律或行政法规要求更短期限的从其规定。甲方应当按约定及时发起退款，不得以内部分工或一般核对为由无限期拖延。甲方原则上应当按原交易币种退回原付款人或者原付款账户。因银行、外汇管理或反洗钱要求确需延长的，甲方应在约定期限内书面说明原因及预计完成时间，提供退款指令或处理记录；甲方应当分别说明退款发起时间和银行实际入账时间。</w:t>
      </w:r>
    </w:p>
    <w:p w14:paraId="2BB554EA">
      <w:pPr>
        <w:keepNext w:val="0"/>
        <w:rPr>
          <w:b w:val="0"/>
          <w:bCs/>
          <w:color w:val="auto"/>
        </w:rPr>
      </w:pPr>
      <w:r>
        <w:rPr>
          <w:rFonts w:ascii="DejaVu Sans" w:hAnsi="DejaVu Sans" w:eastAsia="Noto Sans CJK SC" w:cs="DejaVu Sans"/>
          <w:b w:val="0"/>
          <w:bCs/>
          <w:color w:val="auto"/>
          <w:lang w:val="en-GB" w:eastAsia="zh-CN"/>
        </w:rPr>
        <w:t>10.5 Authorised finance staff receive and reconcile refund requests. Refund deductions and exchange-rate treatment must have a lawful basis, and no deduction may be made without a basis. The Provider promptly acknowledges a request and explains required information, the settlement basis, amount due and expected initiation time. The cohort-specific refund-initiation deadline is agreed in writing in the offer documents and Schedule A before collecting payment; a shorter period required by law or administrative regulation prevails. Initiate refunds promptly under that arrangement without indefinite delay for internal allocation or ordinary reconciliation. Normally refund the original currency to the original remitter or account. If banking, foreign-exchange or anti-money-laundering requirements necessitate an extension, the Provider must explain the reason and expected completion date in writing within the agreed period and provide the refund instruction or processing record. Distinguish initiation from actual bank settlement.</w:t>
      </w:r>
    </w:p>
    <w:p w14:paraId="33B7B396">
      <w:pPr>
        <w:keepNext/>
        <w:spacing w:after="60"/>
        <w:rPr>
          <w:color w:val="auto"/>
        </w:rPr>
      </w:pPr>
      <w:r>
        <w:rPr>
          <w:color w:val="auto"/>
        </w:rPr>
        <w:t>10.6 成员因疾病或行为原因在开营后提前离开时，甲方应列明截至安全交接时已经实际履行和未履行的服务、对应价值、核算依据及应退金额，并按照已约定的服务价格与实际履行比例结算；没有约定分项价格的，甲方应当按照可核实的服务价值和实际履行情况合理核算，并遵守适用的预付款退款规定。甲方不得事后任意抬高已履行服务单价、将未提供的服务计为已履行，或仅因已向供应商预订即认定对成员已履行。无合理依据的固定扣款、预期利润和重复扣费不得扣减依法应当退还的未履行部分。玉榕奖资助未由成员实际支付的金额不兑换为现金退款。法律、行政法规或者司法解释对预付款的退还有特别规定的，从其规定。</w:t>
      </w:r>
    </w:p>
    <w:p w14:paraId="28EE1DD3">
      <w:pPr>
        <w:keepNext w:val="0"/>
        <w:rPr>
          <w:color w:val="auto"/>
        </w:rPr>
      </w:pPr>
      <w:r>
        <w:rPr>
          <w:rFonts w:ascii="DejaVu Sans" w:hAnsi="DejaVu Sans" w:eastAsia="Noto Sans CJK SC" w:cs="DejaVu Sans"/>
          <w:b w:val="0"/>
          <w:color w:val="auto"/>
          <w:lang w:val="en-GB" w:eastAsia="zh-CN"/>
        </w:rPr>
        <w:t>10.6 For early departure after commencement due to illness or conduct, the Provider itemises services actually performed up to safe handover, unperformed services, corresponding values, the calculation basis and refund due. Settle using agreed service prices and actual proportions performed. Where component prices were not agreed, calculate reasonably from verifiable service value and actual performance, observing applicable prepayment-refund rules. The Provider cannot inflate performed-service prices afterwards, treat unprovided services as performed, or assume that a supplier reservation means performance to the Member. Unsupported fixed deductions, expected profit and duplicate charges cannot erode refunds legally due for unperformed services. Fellowship support not actually paid by the Member is not exchanged for a cash refund. Where laws, administrative regulations or judicial interpretations make special provision for the refund of prepayments, those provisions prevail.</w:t>
      </w:r>
    </w:p>
    <w:p w14:paraId="035481E6">
      <w:pPr>
        <w:pStyle w:val="3"/>
        <w:keepNext/>
        <w:rPr>
          <w:color w:val="auto"/>
        </w:rPr>
      </w:pPr>
      <w:r>
        <w:rPr>
          <w:rFonts w:ascii="Noto Sans CJK SC" w:hAnsi="Noto Sans CJK SC" w:eastAsia="Noto Sans CJK SC" w:cs="Noto Sans CJK SC"/>
          <w:b w:val="0"/>
          <w:color w:val="auto"/>
          <w:lang w:val="en-GB" w:eastAsia="zh-CN"/>
        </w:rPr>
        <w:t>11 责任、不可抗力与法定权利</w:t>
      </w:r>
    </w:p>
    <w:p w14:paraId="7A3BF21C">
      <w:pPr>
        <w:pStyle w:val="4"/>
        <w:keepNext/>
        <w:spacing w:before="0"/>
        <w:rPr>
          <w:color w:val="auto"/>
        </w:rPr>
      </w:pPr>
      <w:r>
        <w:rPr>
          <w:rFonts w:ascii="DejaVu Sans" w:hAnsi="DejaVu Sans" w:eastAsia="Noto Sans CJK SC" w:cs="DejaVu Sans"/>
          <w:b w:val="0"/>
          <w:color w:val="auto"/>
          <w:lang w:val="en-GB" w:eastAsia="zh-CN"/>
        </w:rPr>
        <w:t>Responsibility, force majeure and statutory rights</w:t>
      </w:r>
    </w:p>
    <w:p w14:paraId="2D259110">
      <w:pPr>
        <w:keepNext/>
        <w:rPr>
          <w:color w:val="auto"/>
        </w:rPr>
      </w:pPr>
      <w:r>
        <w:rPr>
          <w:color w:val="auto"/>
        </w:rPr>
        <w:t>11.1 双方应履行本协议及依法承担的义务。甲方对其约定服务、安全照看、服务方选择与必要监督、信息保护和财物保管承担相应责任，不因委托第三方或取得风险知情确认而当然免责。成员或者未成年成员的监护人应当如实提供与项目安全相关的必要信息并配合安全安排；责任按照实际过错、因果关系和法律确定；本协议不约定无限额赔偿或者概括免责。</w:t>
      </w:r>
    </w:p>
    <w:p w14:paraId="54D2212C">
      <w:pPr>
        <w:keepNext w:val="0"/>
        <w:rPr>
          <w:color w:val="auto"/>
        </w:rPr>
      </w:pPr>
      <w:r>
        <w:rPr>
          <w:rFonts w:ascii="DejaVu Sans" w:hAnsi="DejaVu Sans" w:eastAsia="Noto Sans CJK SC" w:cs="DejaVu Sans"/>
          <w:b w:val="0"/>
          <w:color w:val="auto"/>
          <w:lang w:val="en-GB" w:eastAsia="zh-CN"/>
        </w:rPr>
        <w:t>11.1 Each party must perform this Agreement and its legal duties. The Provider bears applicable responsibility for contracted services, reasonable safety and care, provider selection and necessary supervision, information protection and property custody. Outsourcing or risk acknowledgement does not automatically exclude responsibility. The Member or, for a minor, the guardian must provide reasonably necessary information honestly and cooperate with safety arrangements. Liability follows actual fault, causation and law, without unlimited indemnities or blanket exclusions.</w:t>
      </w:r>
    </w:p>
    <w:p w14:paraId="70133386">
      <w:pPr>
        <w:keepNext/>
        <w:rPr>
          <w:color w:val="auto"/>
        </w:rPr>
      </w:pPr>
      <w:r>
        <w:rPr>
          <w:rFonts w:ascii="Noto Sans CJK SC" w:hAnsi="Noto Sans CJK SC" w:eastAsia="Noto Sans CJK SC" w:cs="Noto Sans CJK SC"/>
          <w:b w:val="0"/>
          <w:color w:val="auto"/>
          <w:lang w:val="en-GB" w:eastAsia="zh-CN"/>
        </w:rPr>
        <w:t>11.2 造成对方人身损害，以及因故意或重大过失造成对方财产损失的免责，不适用于本协议。保险安排、退款限额、活动限制或者成员的确认，均不免除依法不得排除的责任。一般违约救济包括依照法律和本协议继续履行、采取补救措施、合理退款以及赔偿相应损失。</w:t>
      </w:r>
    </w:p>
    <w:p w14:paraId="5E6A33D7">
      <w:pPr>
        <w:keepNext w:val="0"/>
        <w:rPr>
          <w:color w:val="auto"/>
        </w:rPr>
      </w:pPr>
      <w:r>
        <w:rPr>
          <w:rFonts w:ascii="DejaVu Sans" w:hAnsi="DejaVu Sans" w:eastAsia="Noto Sans CJK SC" w:cs="DejaVu Sans"/>
          <w:b w:val="0"/>
          <w:color w:val="auto"/>
          <w:lang w:val="en-GB" w:eastAsia="zh-CN"/>
        </w:rPr>
        <w:t>11.2 This Agreement does not exclude liability for personal injury to the other party or for property loss caused by intentional wrongdoing or gross negligence. Insurance, refund limits, activity restrictions or Member acknowledgements do not replace non-excludable legal responsibility. Ordinary remedies include performance, correction, appropriate refunds and compensation as provided by law and this Agreement.</w:t>
      </w:r>
    </w:p>
    <w:p w14:paraId="126FC8B2">
      <w:pPr>
        <w:keepNext/>
        <w:rPr>
          <w:color w:val="auto"/>
        </w:rPr>
      </w:pPr>
      <w:r>
        <w:rPr>
          <w:color w:val="auto"/>
        </w:rPr>
        <w:t>11.3 确属依法认定的不可抗力时，受影响方应当在知道或者应当知道该事件之日起五日内书面通知对方，在合理期限内提供证明，并尽力减轻影响；双方根据该事件对履行的实际影响，依照法律确定免责范围。普通服务方不能提供服务或者甲方基于商业判断作出的决定，不属于当然的不可抗力。项目无法继续时，双方应依法结算已履行与未履行服务、退款及其他责任；甲方取消整个项目的退款承诺适用第 10.4 条。</w:t>
      </w:r>
    </w:p>
    <w:p w14:paraId="579C1060">
      <w:pPr>
        <w:keepNext w:val="0"/>
        <w:rPr>
          <w:color w:val="auto"/>
        </w:rPr>
      </w:pPr>
      <w:r>
        <w:rPr>
          <w:rFonts w:ascii="DejaVu Sans" w:hAnsi="DejaVu Sans" w:eastAsia="Noto Sans CJK SC" w:cs="DejaVu Sans"/>
          <w:b w:val="0"/>
          <w:color w:val="auto"/>
          <w:lang w:val="en-GB" w:eastAsia="zh-CN"/>
        </w:rPr>
        <w:t>11.3 For an event legally constituting force majeure, the affected party must notify the other party in writing within five days of the date on which it knew or ought to have known of the event, supply evidence within a reasonable time and mitigate its effects. Any relief depends on the actual effect on performance and law. Ordinary provider unavailability or a commercial decision is not automatically force majeure. If performance cannot continue, settle performed and unperformed services, refunds and other responsibility as required by law; the Provider’s whole-programme cancellation refund commitment in clause 10.4 applies.</w:t>
      </w:r>
    </w:p>
    <w:p w14:paraId="204FEEBB">
      <w:pPr>
        <w:pStyle w:val="3"/>
        <w:keepNext/>
        <w:rPr>
          <w:color w:val="auto"/>
        </w:rPr>
      </w:pPr>
      <w:r>
        <w:rPr>
          <w:rFonts w:ascii="Noto Sans CJK SC" w:hAnsi="Noto Sans CJK SC" w:eastAsia="Noto Sans CJK SC" w:cs="Noto Sans CJK SC"/>
          <w:b w:val="0"/>
          <w:color w:val="auto"/>
          <w:lang w:val="en-GB" w:eastAsia="zh-CN"/>
        </w:rPr>
        <w:t>12 通知、投诉与账户变更</w:t>
      </w:r>
    </w:p>
    <w:p w14:paraId="6C06A86C">
      <w:pPr>
        <w:pStyle w:val="4"/>
        <w:keepNext/>
        <w:spacing w:before="0"/>
        <w:rPr>
          <w:color w:val="auto"/>
        </w:rPr>
      </w:pPr>
      <w:r>
        <w:rPr>
          <w:rFonts w:ascii="DejaVu Sans" w:hAnsi="DejaVu Sans" w:eastAsia="Noto Sans CJK SC" w:cs="DejaVu Sans"/>
          <w:b w:val="0"/>
          <w:color w:val="auto"/>
          <w:lang w:val="en-GB" w:eastAsia="zh-CN"/>
        </w:rPr>
        <w:t>Notices, complaints and account changes</w:t>
      </w:r>
    </w:p>
    <w:p w14:paraId="662A371D">
      <w:pPr>
        <w:keepNext/>
        <w:rPr>
          <w:color w:val="auto"/>
        </w:rPr>
      </w:pPr>
      <w:r>
        <w:rPr>
          <w:color w:val="auto"/>
        </w:rPr>
        <w:t>12.1 甲方正式合同、取消退款及投诉联系邮箱为 admissions@jadebanyansociety.com。甲方应当将乙方及未成年成员监护人的联系信息列入附表 A。乙方或者未成年成员监护人变更联系方式的，应当及时书面通知甲方。双方应当保留重要通知的可核实发送及接收记录；甲方不能仅以网站更新代替已签合同的变更同意。发生紧急事项的，乙方可以使用附表 A 载明的紧急及备用电话联系甲方。</w:t>
      </w:r>
    </w:p>
    <w:p w14:paraId="6119095A">
      <w:pPr>
        <w:keepNext w:val="0"/>
        <w:rPr>
          <w:color w:val="auto"/>
        </w:rPr>
      </w:pPr>
      <w:r>
        <w:rPr>
          <w:rFonts w:ascii="DejaVu Sans" w:hAnsi="DejaVu Sans" w:eastAsia="Noto Sans CJK SC" w:cs="DejaVu Sans"/>
          <w:b w:val="0"/>
          <w:color w:val="auto"/>
          <w:lang w:val="en-GB" w:eastAsia="zh-CN"/>
        </w:rPr>
        <w:t>12.1 The Provider’s official email for contractual notices, cancellation, refunds and complaints is admissions@jadebanyansociety.com. The Member’s and, for a minor, the guardian’s contact details are recorded in Schedule A; the Member or, for a minor, the guardian must notify a change of contact details to the Provider promptly in writing. Retain verifiable sending and receipt records for important notices. A website update alone cannot replace agreement to change a signed contract. Use the urgent and backup numbers in Schedule A for emergencies.</w:t>
      </w:r>
    </w:p>
    <w:p w14:paraId="464A5C15">
      <w:pPr>
        <w:keepNext/>
        <w:rPr>
          <w:color w:val="auto"/>
        </w:rPr>
      </w:pPr>
      <w:r>
        <w:rPr>
          <w:rFonts w:ascii="Noto Sans CJK SC" w:hAnsi="Noto Sans CJK SC" w:eastAsia="Noto Sans CJK SC" w:cs="Noto Sans CJK SC"/>
          <w:b w:val="0"/>
          <w:color w:val="auto"/>
          <w:lang w:val="en-GB" w:eastAsia="zh-CN"/>
        </w:rPr>
        <w:t>12.2 甲方应记录投诉并及时调查反馈。成员可以向甲方工作人员反映安全方面的问题或者隐患；涉及被投诉人员时，应当由独立于该事项的授权人员接收或者移交上一级处理。账户变更，甲方须通过已有正式渠道书面确认，并保持合同、收款户名和开票主体一致；付款方可通过原联系方式核验。</w:t>
      </w:r>
    </w:p>
    <w:p w14:paraId="724BFD9D">
      <w:pPr>
        <w:keepNext w:val="0"/>
        <w:rPr>
          <w:color w:val="auto"/>
        </w:rPr>
      </w:pPr>
      <w:r>
        <w:rPr>
          <w:rFonts w:ascii="DejaVu Sans" w:hAnsi="DejaVu Sans" w:eastAsia="Noto Sans CJK SC" w:cs="DejaVu Sans"/>
          <w:b w:val="0"/>
          <w:color w:val="auto"/>
          <w:lang w:val="en-GB" w:eastAsia="zh-CN"/>
        </w:rPr>
        <w:t>12.2 The Provider must record complaints and promptly investigate and respond. Members may raise safety concerns with staff; concerns involving a staff member must be received or escalated by an authorised person independent of the matter. Account changes require written confirmation through the Provider’s established official channel, preserving consistency of the contractual entity, beneficiary and invoice issuer. The remitter may verify through existing contact details.</w:t>
      </w:r>
    </w:p>
    <w:p w14:paraId="6D65DC74">
      <w:pPr>
        <w:keepNext w:val="0"/>
        <w:rPr>
          <w:color w:val="auto"/>
        </w:rPr>
      </w:pPr>
      <w:r>
        <w:rPr>
          <w:color w:val="auto"/>
        </w:rPr>
        <w:t>12.3 双方在附表 A 中载明的邮箱和地址为有效送达地址。因收件方原因被拒收、退回或者无法送达的，视为已送达。一方变更联系方式的，应当及时书面通知对方；未通知的，向原载明的联系方式送达即为有效送达。</w:t>
      </w:r>
    </w:p>
    <w:p w14:paraId="0A748475">
      <w:pPr>
        <w:keepNext w:val="0"/>
        <w:rPr>
          <w:color w:val="auto"/>
        </w:rPr>
      </w:pPr>
      <w:r>
        <w:rPr>
          <w:color w:val="auto"/>
        </w:rPr>
        <w:t>12.3 The email addresses and addresses recorded in Schedule A are the valid addresses for service. A notice that is refused, returned or otherwise not delivered for reasons attributable to the recipient is deemed served. A party that changes its contact details must notify the other party in writing promptly; where it does not, service to the previously recorded contact details is valid.</w:t>
      </w:r>
    </w:p>
    <w:p w14:paraId="35916EF2">
      <w:pPr>
        <w:pStyle w:val="3"/>
        <w:keepNext/>
        <w:rPr>
          <w:color w:val="auto"/>
        </w:rPr>
      </w:pPr>
      <w:r>
        <w:rPr>
          <w:rFonts w:ascii="Noto Sans CJK SC" w:hAnsi="Noto Sans CJK SC" w:eastAsia="Noto Sans CJK SC" w:cs="Noto Sans CJK SC"/>
          <w:b w:val="0"/>
          <w:color w:val="auto"/>
          <w:lang w:val="en-GB" w:eastAsia="zh-CN"/>
        </w:rPr>
        <w:t>13 合同文件、语言与争议处理</w:t>
      </w:r>
    </w:p>
    <w:p w14:paraId="4A33CD84">
      <w:pPr>
        <w:pStyle w:val="4"/>
        <w:keepNext/>
        <w:spacing w:before="0"/>
        <w:rPr>
          <w:color w:val="auto"/>
        </w:rPr>
      </w:pPr>
      <w:r>
        <w:rPr>
          <w:rFonts w:ascii="DejaVu Sans" w:hAnsi="DejaVu Sans" w:eastAsia="Noto Sans CJK SC" w:cs="DejaVu Sans"/>
          <w:b w:val="0"/>
          <w:color w:val="auto"/>
          <w:lang w:val="en-GB" w:eastAsia="zh-CN"/>
        </w:rPr>
        <w:t>Documents, language and disputes</w:t>
      </w:r>
    </w:p>
    <w:p w14:paraId="08E60620">
      <w:pPr>
        <w:keepNext/>
        <w:rPr>
          <w:color w:val="auto"/>
        </w:rPr>
      </w:pPr>
      <w:r>
        <w:rPr>
          <w:color w:val="auto"/>
        </w:rPr>
        <w:t>13.1 合同文件包括本协议主文、双方完成的附表 A 至 D，以及附表 C 列明且实际交付的对应版本文件。《项目参与条款》《共同生活守则》《无手机政策》《活动参与与风险知情说明》及《取消与退款政策》构成相应约定规则；《隐私说明》为告知性文件；摄影、宣传及依法须单独同意的事项，由双方依照单独授权文件办理。本协议所称单独授权文件，指《项目摄影授权》《宣传媒体授权》《GPS SOS 与定位信息》等由成员或者未成年成员的监护人另行签署的授权或者确认文件。九份配套</w:t>
      </w:r>
      <w:r>
        <w:rPr>
          <w:strike w:val="0"/>
          <w:dstrike w:val="0"/>
          <w:color w:val="auto"/>
        </w:rPr>
        <w:t>政策</w:t>
      </w:r>
      <w:r>
        <w:rPr>
          <w:color w:val="auto"/>
        </w:rPr>
        <w:t>文件的发布版本为 2026-10-10；甲方不得仅以网站当前页面代替签约时交付并保存的具体版本。</w:t>
      </w:r>
    </w:p>
    <w:p w14:paraId="76E5F87A">
      <w:pPr>
        <w:keepNext w:val="0"/>
        <w:rPr>
          <w:color w:val="auto"/>
        </w:rPr>
      </w:pPr>
      <w:r>
        <w:rPr>
          <w:rFonts w:ascii="DejaVu Sans" w:hAnsi="DejaVu Sans" w:eastAsia="Noto Sans CJK SC" w:cs="DejaVu Sans"/>
          <w:b w:val="0"/>
          <w:color w:val="auto"/>
          <w:lang w:val="en-GB" w:eastAsia="zh-CN"/>
        </w:rPr>
        <w:t xml:space="preserve">13.1 The contractual documents comprise these main terms, completed Schedules A–D and the corresponding versions listed in Schedule C and actually supplied. The Participation Terms, the Community Code, the Phone-Free Policy, the Activity Participation and Risk Acknowledgement and the Cancellation &amp; Refund Policy provide their respective agreed rules; the Privacy Notice supplies notice. Photography, promotion and matters requiring separate consent are handled in Separate Authorisation Documents. In this Agreement, “Separate Authorisation Documents” means the Programme Photography Consent, the Promotional Media Consent, the GPS SOS and Location Data notice, and any other authorisation or acknowledgement document signed separately by the Member or, for a minor, the guardian. The nine supporting </w:t>
      </w:r>
      <w:r>
        <w:rPr>
          <w:rFonts w:ascii="DejaVu Sans" w:hAnsi="DejaVu Sans" w:eastAsia="Noto Sans CJK SC" w:cs="DejaVu Sans"/>
          <w:b w:val="0"/>
          <w:strike w:val="0"/>
          <w:dstrike w:val="0"/>
          <w:color w:val="auto"/>
          <w:lang w:val="en-GB" w:eastAsia="zh-CN"/>
        </w:rPr>
        <w:t xml:space="preserve">policy </w:t>
      </w:r>
      <w:r>
        <w:rPr>
          <w:rFonts w:ascii="DejaVu Sans" w:hAnsi="DejaVu Sans" w:eastAsia="Noto Sans CJK SC" w:cs="DejaVu Sans"/>
          <w:b w:val="0"/>
          <w:color w:val="auto"/>
          <w:lang w:val="en-GB" w:eastAsia="zh-CN"/>
        </w:rPr>
        <w:t>documents were released as version 2026-10-10. The Provider must not rely on the current website page alone to replace the specific versions supplied and retained at signing.</w:t>
      </w:r>
    </w:p>
    <w:p w14:paraId="7F9C96DA">
      <w:pPr>
        <w:keepNext/>
        <w:rPr>
          <w:color w:val="auto"/>
        </w:rPr>
      </w:pPr>
      <w:r>
        <w:rPr>
          <w:color w:val="auto"/>
        </w:rPr>
        <w:t>13.2 依法不得排除的规则优先，真实协商的具体约定优先于格式条款。本协议与《项目参与条款》等附件相互补充，甲方不得单方删除已确认的保险、退款或者成员保护安排。本协议与上述文件不一致的，以本协议为准；但不得覆盖成员或者监护人在独立授权文件中作出的实际选择、已确认的保险及退款安排，以及依法不得排除的权利。附表 A 补充具体交易及服务信息，甲方不得在未作提示的情况下减损乙方权利。文件冲突应在签署或变更前明确处理并由双方依法确认；甲方不得事后单方挑选对其有利的文本，不得因更新模板、网站或附件取消已经产生的权利。</w:t>
      </w:r>
    </w:p>
    <w:p w14:paraId="64DEBA46">
      <w:pPr>
        <w:keepNext w:val="0"/>
        <w:rPr>
          <w:color w:val="auto"/>
        </w:rPr>
      </w:pPr>
      <w:r>
        <w:rPr>
          <w:rFonts w:ascii="DejaVu Sans" w:hAnsi="DejaVu Sans" w:eastAsia="Noto Sans CJK SC" w:cs="DejaVu Sans"/>
          <w:b w:val="0"/>
          <w:color w:val="auto"/>
          <w:lang w:val="en-GB" w:eastAsia="zh-CN"/>
        </w:rPr>
        <w:t>13.2 Non-excludable law prevails, and genuinely negotiated specific terms take priority over standard terms. This Agreement and the Participation Terms and other attachments complement one another; the Provider must not unilaterally remove confirmed insurance, refund or safeguarding arrangements. Where this Agreement is inconsistent with those documents, this Agreement prevails; but this does not override the actual choices made by the Member or the guardian in the separate authorisation documents, confirmed insurance and refund arrangements, or rights that cannot be excluded by law. Schedule A supplies specific booking and service information without silently reducing the Member’s rights. Resolve conflicts expressly before signing or amendment with legally valid agreement; the Provider must not later unilaterally select text favourable to it, or remove accrued rights by updating a template, website or attachment.</w:t>
      </w:r>
    </w:p>
    <w:p w14:paraId="1B48F1D3">
      <w:pPr>
        <w:keepNext/>
        <w:rPr>
          <w:b w:val="0"/>
          <w:bCs/>
          <w:color w:val="auto"/>
        </w:rPr>
      </w:pPr>
      <w:r>
        <w:rPr>
          <w:rFonts w:ascii="Noto Sans CJK SC" w:hAnsi="Noto Sans CJK SC" w:eastAsia="Noto Sans CJK SC" w:cs="Noto Sans CJK SC"/>
          <w:b w:val="0"/>
          <w:bCs/>
          <w:color w:val="auto"/>
          <w:lang w:val="en-GB" w:eastAsia="zh-CN"/>
        </w:rPr>
        <w:t>13.3 本协议中文和英文文本具有同等效力，双方保留同一版本。双方对含义有不同理解的，应当结合相关条款、合同性质、目的、诚信原则及适用法律进行解释，不因使用某一语言而排除法定保护。本协议适用中华人民共和国大陆地区法律，但不得排除国际成员依法适用的强制性保护。</w:t>
      </w:r>
    </w:p>
    <w:p w14:paraId="018EC92B">
      <w:pPr>
        <w:keepNext w:val="0"/>
        <w:rPr>
          <w:b w:val="0"/>
          <w:bCs/>
          <w:color w:val="auto"/>
        </w:rPr>
      </w:pPr>
      <w:r>
        <w:rPr>
          <w:rFonts w:ascii="DejaVu Sans" w:hAnsi="DejaVu Sans" w:eastAsia="Noto Sans CJK SC" w:cs="DejaVu Sans"/>
          <w:b w:val="0"/>
          <w:bCs/>
          <w:color w:val="auto"/>
          <w:lang w:val="en-GB" w:eastAsia="zh-CN"/>
        </w:rPr>
        <w:t>13.3 The Chinese and English texts have equal effect and each party retains the same version. Differences are interpreted by reference to related provisions, the nature and purpose of the Agreement, good faith and applicable law; no language automatically excludes statutory protection. Mainland PRC law governs without excluding mandatory protections legally applicable to international Members.</w:t>
      </w:r>
    </w:p>
    <w:p w14:paraId="3D8B5E73">
      <w:pPr>
        <w:keepNext/>
        <w:rPr>
          <w:b w:val="0"/>
          <w:bCs/>
          <w:color w:val="auto"/>
        </w:rPr>
      </w:pPr>
      <w:r>
        <w:rPr>
          <w:rFonts w:ascii="Noto Sans CJK SC" w:hAnsi="Noto Sans CJK SC" w:eastAsia="Noto Sans CJK SC" w:cs="Noto Sans CJK SC"/>
          <w:b w:val="0"/>
          <w:bCs/>
          <w:color w:val="auto"/>
          <w:lang w:val="en-GB" w:eastAsia="zh-CN"/>
        </w:rPr>
        <w:t>13.4 争议发生时，双方可先协商，也可依法向消费者组织或主管机关寻求处理；未能解决的，可向依法有管辖权的法院提起诉讼。协商不是行使法定救济的前提，本协议不限制任何一方依法申请及时保护的权利。本协议不约定强制仲裁或排他管辖。</w:t>
      </w:r>
    </w:p>
    <w:p w14:paraId="48640D00">
      <w:pPr>
        <w:keepNext w:val="0"/>
        <w:rPr>
          <w:b w:val="0"/>
          <w:bCs/>
          <w:color w:val="auto"/>
        </w:rPr>
      </w:pPr>
      <w:r>
        <w:rPr>
          <w:rFonts w:ascii="DejaVu Sans" w:hAnsi="DejaVu Sans" w:eastAsia="Noto Sans CJK SC" w:cs="DejaVu Sans"/>
          <w:b w:val="0"/>
          <w:bCs/>
          <w:color w:val="auto"/>
          <w:lang w:val="en-GB" w:eastAsia="zh-CN"/>
        </w:rPr>
        <w:t>13.4 The parties may attempt discussion and seek assistance from consumer organisations or competent authorities as permitted by law. An unresolved dispute may be brought before a court with jurisdiction under applicable law. Discussion is not a prerequisite to statutory remedies or timely legal protection. This Agreement does not impose compulsory arbitration or an exclusive forum.</w:t>
      </w:r>
    </w:p>
    <w:p w14:paraId="4D89D581">
      <w:pPr>
        <w:keepNext/>
        <w:rPr>
          <w:color w:val="auto"/>
        </w:rPr>
      </w:pPr>
      <w:r>
        <w:rPr>
          <w:color w:val="auto"/>
        </w:rPr>
        <w:t>13.5 本协议部分条款被认定无效、被撤销或者确定不发生效力的，不影响其余条款的效力。</w:t>
      </w:r>
    </w:p>
    <w:p w14:paraId="54652471">
      <w:pPr>
        <w:keepNext w:val="0"/>
        <w:rPr>
          <w:color w:val="auto"/>
        </w:rPr>
      </w:pPr>
      <w:r>
        <w:rPr>
          <w:color w:val="auto"/>
        </w:rPr>
        <w:t>13.5 If any provision of this Agreement is held invalid or unenforceable, the validity of the remaining provisions is not affected.</w:t>
      </w:r>
    </w:p>
    <w:p w14:paraId="4FF657AE">
      <w:pPr>
        <w:pStyle w:val="3"/>
        <w:keepNext/>
        <w:rPr>
          <w:rFonts w:ascii="Noto Sans CJK SC" w:hAnsi="Noto Sans CJK SC" w:eastAsia="Noto Sans CJK SC" w:cs="Noto Sans CJK SC"/>
          <w:b w:val="0"/>
          <w:color w:val="auto"/>
          <w:lang w:val="en-GB" w:eastAsia="zh-CN"/>
        </w:rPr>
      </w:pPr>
      <w:r>
        <w:rPr>
          <w:rFonts w:ascii="Noto Sans CJK SC" w:hAnsi="Noto Sans CJK SC" w:eastAsia="Noto Sans CJK SC" w:cs="Noto Sans CJK SC"/>
          <w:b w:val="0"/>
          <w:color w:val="auto"/>
          <w:lang w:val="en-GB" w:eastAsia="zh-CN"/>
        </w:rPr>
        <w:t>14 其他约定</w:t>
      </w:r>
    </w:p>
    <w:p w14:paraId="7C12FBB9">
      <w:pPr>
        <w:keepNext w:val="0"/>
        <w:rPr>
          <w:color w:val="auto"/>
        </w:rPr>
      </w:pPr>
      <w:r>
        <w:rPr>
          <w:color w:val="auto"/>
        </w:rPr>
        <w:t>Other provisions</w:t>
      </w:r>
    </w:p>
    <w:p w14:paraId="52B4A7EF">
      <w:pPr>
        <w:keepNext w:val="0"/>
        <w:rPr>
          <w:color w:val="auto"/>
        </w:rPr>
      </w:pPr>
      <w:r>
        <w:rPr>
          <w:color w:val="auto"/>
        </w:rPr>
        <w:t>14.1 未经甲方书面同意，成员不得将参加名额或者参加资格转让给他人。</w:t>
      </w:r>
    </w:p>
    <w:p w14:paraId="2CC0916C">
      <w:pPr>
        <w:keepNext w:val="0"/>
        <w:rPr>
          <w:color w:val="auto"/>
        </w:rPr>
      </w:pPr>
      <w:r>
        <w:rPr>
          <w:color w:val="auto"/>
        </w:rPr>
        <w:t xml:space="preserve">14.1 The Member may not assign the place or eligibility to participate under this Agreement to anyone without the Provider’s written consent. </w:t>
      </w:r>
    </w:p>
    <w:p w14:paraId="40774B05">
      <w:pPr>
        <w:keepNext w:val="0"/>
        <w:rPr>
          <w:color w:val="auto"/>
        </w:rPr>
      </w:pPr>
      <w:r>
        <w:rPr>
          <w:color w:val="auto"/>
        </w:rPr>
        <w:t>14.2 本协议解除或者终止后，关于个人信息保护、责任承担和争议解决的约定继续有效。</w:t>
      </w:r>
    </w:p>
    <w:p w14:paraId="6D0CB328">
      <w:pPr>
        <w:keepNext w:val="0"/>
        <w:rPr>
          <w:color w:val="auto"/>
        </w:rPr>
      </w:pPr>
      <w:r>
        <w:rPr>
          <w:color w:val="auto"/>
        </w:rPr>
        <w:t>14.</w:t>
      </w:r>
      <w:r>
        <w:rPr>
          <w:rFonts w:hint="eastAsia"/>
          <w:color w:val="auto"/>
          <w:lang w:val="en-US" w:eastAsia="zh-CN"/>
        </w:rPr>
        <w:t>2</w:t>
      </w:r>
      <w:r>
        <w:rPr>
          <w:color w:val="auto"/>
        </w:rPr>
        <w:t xml:space="preserve"> After this Agreement is terminated, the provisions on personal information protection, liability and dispute resolution continue in effect.</w:t>
      </w:r>
    </w:p>
    <w:p w14:paraId="6EC452CD">
      <w:pPr>
        <w:pStyle w:val="3"/>
        <w:keepNext/>
        <w:pageBreakBefore/>
        <w:rPr>
          <w:color w:val="auto"/>
        </w:rPr>
      </w:pPr>
      <w:r>
        <w:rPr>
          <w:rFonts w:ascii="Noto Sans CJK SC" w:hAnsi="Noto Sans CJK SC" w:eastAsia="Noto Sans CJK SC" w:cs="Noto Sans CJK SC"/>
          <w:b w:val="0"/>
          <w:color w:val="auto"/>
          <w:lang w:val="en-GB" w:eastAsia="zh-CN"/>
        </w:rPr>
        <w:t>附表 A 成员录取及分阶段确认</w:t>
      </w:r>
    </w:p>
    <w:p w14:paraId="00A8824D">
      <w:pPr>
        <w:pStyle w:val="4"/>
        <w:keepNext/>
        <w:spacing w:before="0" w:after="180"/>
        <w:rPr>
          <w:color w:val="auto"/>
        </w:rPr>
      </w:pPr>
      <w:r>
        <w:rPr>
          <w:rFonts w:ascii="DejaVu Sans" w:hAnsi="DejaVu Sans" w:eastAsia="Noto Sans CJK SC" w:cs="DejaVu Sans"/>
          <w:b w:val="0"/>
          <w:color w:val="auto"/>
          <w:lang w:val="en-GB" w:eastAsia="zh-CN"/>
        </w:rPr>
        <w:t>Schedule A Member booking and staged confirmations</w:t>
      </w:r>
    </w:p>
    <w:p w14:paraId="7AC4588C">
      <w:pPr>
        <w:keepNext/>
        <w:spacing w:after="60"/>
        <w:rPr>
          <w:color w:val="auto"/>
        </w:rPr>
      </w:pPr>
      <w:r>
        <w:rPr>
          <w:rFonts w:ascii="Noto Sans CJK SC" w:hAnsi="Noto Sans CJK SC" w:eastAsia="Noto Sans CJK SC" w:cs="Noto Sans CJK SC"/>
          <w:b w:val="0"/>
          <w:color w:val="auto"/>
          <w:lang w:val="en-GB" w:eastAsia="zh-CN"/>
        </w:rPr>
        <w:t>本附表所涉具体运营安排，无须在预报名阶段即已确定。第一部分由甲方在发出付费录取及启动付款期前完成；第二部分由甲方在项目启动后按规定阶段书面确认。经确认的附表、录取文件及补充安排由双方保存相同版本。成员及未成年成员的监护人应当通过甲方指定的安全流程提供身份证件、健康及保险材料；完整敏感资料不在本合同中重复记载。</w:t>
      </w:r>
    </w:p>
    <w:p w14:paraId="222FA144">
      <w:pPr>
        <w:keepNext w:val="0"/>
        <w:rPr>
          <w:color w:val="auto"/>
        </w:rPr>
      </w:pPr>
      <w:r>
        <w:rPr>
          <w:rFonts w:ascii="DejaVu Sans" w:hAnsi="DejaVu Sans" w:eastAsia="Noto Sans CJK SC" w:cs="DejaVu Sans"/>
          <w:b w:val="0"/>
          <w:color w:val="auto"/>
          <w:lang w:val="en-GB" w:eastAsia="zh-CN"/>
        </w:rPr>
        <w:t>This schedule does not require specific operational arrangements to be fixed at registration of interest. Part One is completed before a paid offer and payment window begin; Part Two is confirmed in writing at the stated stages after activation. Each party retains the same confirmed schedule, offer and supplements. Identity, health and insurance materials use the designated secure process rather than repeating full sensitive records in this Agreement.</w:t>
      </w:r>
    </w:p>
    <w:p w14:paraId="46FA5805">
      <w:pPr>
        <w:pStyle w:val="4"/>
        <w:keepNext/>
        <w:rPr>
          <w:color w:val="auto"/>
        </w:rPr>
      </w:pPr>
      <w:r>
        <w:rPr>
          <w:rFonts w:ascii="Noto Sans CJK SC" w:hAnsi="Noto Sans CJK SC" w:eastAsia="Noto Sans CJK SC" w:cs="Noto Sans CJK SC"/>
          <w:b w:val="0"/>
          <w:color w:val="auto"/>
          <w:lang w:val="en-GB" w:eastAsia="zh-CN"/>
        </w:rPr>
        <w:t>第一部分 录取及收款前确认</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Part One Confirm at the offer stage before payment</w:t>
      </w:r>
    </w:p>
    <w:p w14:paraId="4322D3F1">
      <w:pPr>
        <w:keepNext/>
        <w:spacing w:before="80"/>
        <w:rPr>
          <w:color w:val="auto"/>
        </w:rPr>
      </w:pPr>
      <w:r>
        <w:rPr>
          <w:rFonts w:ascii="Noto Sans CJK SC" w:hAnsi="Noto Sans CJK SC" w:eastAsia="Noto Sans CJK SC" w:cs="Noto Sans CJK SC"/>
          <w:b/>
          <w:color w:val="auto"/>
          <w:lang w:val="en-GB" w:eastAsia="zh-CN"/>
        </w:rPr>
        <w:t>合同及录取编号  Contract and offer reference</w:t>
      </w:r>
    </w:p>
    <w:p w14:paraId="5494C49C">
      <w:pPr>
        <w:keepNext w:val="0"/>
        <w:rPr>
          <w:color w:val="auto"/>
        </w:rPr>
      </w:pPr>
      <w:r>
        <w:rPr>
          <w:rFonts w:ascii="DejaVu Sans" w:hAnsi="DejaVu Sans" w:eastAsia="Noto Sans CJK SC" w:cs="DejaVu Sans"/>
          <w:b w:val="0"/>
          <w:color w:val="auto"/>
          <w:lang w:val="en-GB" w:eastAsia="zh-CN"/>
        </w:rPr>
        <w:t>________________________________________</w:t>
      </w:r>
    </w:p>
    <w:p w14:paraId="31132A35">
      <w:pPr>
        <w:keepNext/>
        <w:spacing w:before="80"/>
        <w:rPr>
          <w:color w:val="auto"/>
        </w:rPr>
      </w:pPr>
      <w:r>
        <w:rPr>
          <w:rFonts w:ascii="Noto Sans CJK SC" w:hAnsi="Noto Sans CJK SC" w:eastAsia="Noto Sans CJK SC" w:cs="Noto Sans CJK SC"/>
          <w:b/>
          <w:color w:val="auto"/>
          <w:lang w:val="en-GB" w:eastAsia="zh-CN"/>
        </w:rPr>
        <w:t>成员法定姓名  Member legal name</w:t>
      </w:r>
    </w:p>
    <w:p w14:paraId="7064AD9F">
      <w:pPr>
        <w:keepNext w:val="0"/>
        <w:rPr>
          <w:color w:val="auto"/>
        </w:rPr>
      </w:pPr>
      <w:r>
        <w:rPr>
          <w:rFonts w:ascii="DejaVu Sans" w:hAnsi="DejaVu Sans" w:eastAsia="Noto Sans CJK SC" w:cs="DejaVu Sans"/>
          <w:b w:val="0"/>
          <w:color w:val="auto"/>
          <w:lang w:val="en-GB" w:eastAsia="zh-CN"/>
        </w:rPr>
        <w:t>________________________________________</w:t>
      </w:r>
    </w:p>
    <w:p w14:paraId="3CD1BB5E">
      <w:pPr>
        <w:keepNext/>
        <w:spacing w:before="80"/>
        <w:rPr>
          <w:color w:val="auto"/>
        </w:rPr>
      </w:pPr>
      <w:r>
        <w:rPr>
          <w:rFonts w:ascii="Noto Sans CJK SC" w:hAnsi="Noto Sans CJK SC" w:eastAsia="Noto Sans CJK SC" w:cs="Noto Sans CJK SC"/>
          <w:b/>
          <w:color w:val="auto"/>
          <w:lang w:val="en-GB" w:eastAsia="zh-CN"/>
        </w:rPr>
        <w:t>出生日期及期次首日年龄  Date of birth and age on cohort first day</w:t>
      </w:r>
    </w:p>
    <w:p w14:paraId="563CE506">
      <w:pPr>
        <w:keepNext w:val="0"/>
        <w:rPr>
          <w:color w:val="auto"/>
        </w:rPr>
      </w:pPr>
      <w:r>
        <w:rPr>
          <w:rFonts w:ascii="DejaVu Sans" w:hAnsi="DejaVu Sans" w:eastAsia="Noto Sans CJK SC" w:cs="DejaVu Sans"/>
          <w:b w:val="0"/>
          <w:color w:val="auto"/>
          <w:lang w:val="en-GB" w:eastAsia="zh-CN"/>
        </w:rPr>
        <w:t>________________________________________</w:t>
      </w:r>
    </w:p>
    <w:p w14:paraId="0822E4F5">
      <w:pPr>
        <w:keepNext/>
        <w:spacing w:before="80"/>
        <w:rPr>
          <w:color w:val="auto"/>
        </w:rPr>
      </w:pPr>
      <w:r>
        <w:rPr>
          <w:rFonts w:ascii="Noto Sans CJK SC" w:hAnsi="Noto Sans CJK SC" w:eastAsia="Noto Sans CJK SC" w:cs="Noto Sans CJK SC"/>
          <w:b/>
          <w:color w:val="auto"/>
          <w:lang w:val="en-GB" w:eastAsia="zh-CN"/>
        </w:rPr>
        <w:t>国籍或地区及常住地  Nationality or region and habitual residence</w:t>
      </w:r>
    </w:p>
    <w:p w14:paraId="7EA14B02">
      <w:pPr>
        <w:keepNext w:val="0"/>
        <w:rPr>
          <w:color w:val="auto"/>
        </w:rPr>
      </w:pPr>
      <w:r>
        <w:rPr>
          <w:rFonts w:ascii="DejaVu Sans" w:hAnsi="DejaVu Sans" w:eastAsia="Noto Sans CJK SC" w:cs="DejaVu Sans"/>
          <w:b w:val="0"/>
          <w:color w:val="auto"/>
          <w:lang w:val="en-GB" w:eastAsia="zh-CN"/>
        </w:rPr>
        <w:t>________________________________________</w:t>
      </w:r>
    </w:p>
    <w:p w14:paraId="684E724F">
      <w:pPr>
        <w:keepNext/>
        <w:spacing w:before="80"/>
        <w:rPr>
          <w:color w:val="auto"/>
        </w:rPr>
      </w:pPr>
      <w:r>
        <w:rPr>
          <w:rFonts w:ascii="Noto Sans CJK SC" w:hAnsi="Noto Sans CJK SC" w:eastAsia="Noto Sans CJK SC" w:cs="Noto Sans CJK SC"/>
          <w:b/>
          <w:color w:val="auto"/>
          <w:lang w:val="en-GB" w:eastAsia="zh-CN"/>
        </w:rPr>
        <w:t>成员联系方式  Member contact details</w:t>
      </w:r>
    </w:p>
    <w:p w14:paraId="4D4D3CDA">
      <w:pPr>
        <w:keepNext w:val="0"/>
        <w:rPr>
          <w:color w:val="auto"/>
        </w:rPr>
      </w:pPr>
      <w:r>
        <w:rPr>
          <w:rFonts w:ascii="DejaVu Sans" w:hAnsi="DejaVu Sans" w:eastAsia="Noto Sans CJK SC" w:cs="DejaVu Sans"/>
          <w:b w:val="0"/>
          <w:color w:val="auto"/>
          <w:lang w:val="en-GB" w:eastAsia="zh-CN"/>
        </w:rPr>
        <w:t>________________________________________</w:t>
      </w:r>
    </w:p>
    <w:p w14:paraId="63C141C2">
      <w:pPr>
        <w:keepNext/>
        <w:spacing w:before="80"/>
        <w:rPr>
          <w:color w:val="auto"/>
        </w:rPr>
      </w:pPr>
      <w:r>
        <w:rPr>
          <w:rFonts w:ascii="Noto Sans CJK SC" w:hAnsi="Noto Sans CJK SC" w:eastAsia="Noto Sans CJK SC" w:cs="Noto Sans CJK SC"/>
          <w:b/>
          <w:color w:val="auto"/>
          <w:lang w:val="en-GB" w:eastAsia="zh-CN"/>
        </w:rPr>
        <w:t>监护人姓名关系及经核验代理资格  Guardian name relationship and verified authority</w:t>
      </w:r>
    </w:p>
    <w:p w14:paraId="323227E0">
      <w:pPr>
        <w:keepNext w:val="0"/>
        <w:rPr>
          <w:color w:val="auto"/>
        </w:rPr>
      </w:pPr>
      <w:r>
        <w:rPr>
          <w:rFonts w:ascii="Noto Sans CJK SC" w:hAnsi="Noto Sans CJK SC" w:eastAsia="Noto Sans CJK SC" w:cs="Noto Sans CJK SC"/>
          <w:b w:val="0"/>
          <w:color w:val="auto"/>
          <w:lang w:val="en-GB" w:eastAsia="zh-CN"/>
        </w:rPr>
        <w:t>未成年成员填写  For a minor  ______________________________</w:t>
      </w:r>
    </w:p>
    <w:p w14:paraId="3CAB6013">
      <w:pPr>
        <w:keepNext/>
        <w:spacing w:before="80"/>
        <w:rPr>
          <w:color w:val="auto"/>
        </w:rPr>
      </w:pPr>
      <w:r>
        <w:rPr>
          <w:rFonts w:ascii="Noto Sans CJK SC" w:hAnsi="Noto Sans CJK SC" w:eastAsia="Noto Sans CJK SC" w:cs="Noto Sans CJK SC"/>
          <w:b/>
          <w:color w:val="auto"/>
          <w:lang w:val="en-GB" w:eastAsia="zh-CN"/>
        </w:rPr>
        <w:t>监护人联系方式  Guardian contact details</w:t>
      </w:r>
    </w:p>
    <w:p w14:paraId="0497F5E8">
      <w:pPr>
        <w:keepNext w:val="0"/>
        <w:rPr>
          <w:color w:val="auto"/>
        </w:rPr>
      </w:pPr>
      <w:r>
        <w:rPr>
          <w:rFonts w:ascii="DejaVu Sans" w:hAnsi="DejaVu Sans" w:eastAsia="Noto Sans CJK SC" w:cs="DejaVu Sans"/>
          <w:b w:val="0"/>
          <w:color w:val="auto"/>
          <w:lang w:val="en-GB" w:eastAsia="zh-CN"/>
        </w:rPr>
        <w:t>________________________________________</w:t>
      </w:r>
    </w:p>
    <w:p w14:paraId="1C01552F">
      <w:pPr>
        <w:keepNext/>
        <w:spacing w:before="80"/>
        <w:rPr>
          <w:color w:val="auto"/>
        </w:rPr>
      </w:pPr>
      <w:r>
        <w:rPr>
          <w:rFonts w:ascii="Noto Sans CJK SC" w:hAnsi="Noto Sans CJK SC" w:eastAsia="Noto Sans CJK SC" w:cs="Noto Sans CJK SC"/>
          <w:b/>
          <w:color w:val="auto"/>
          <w:lang w:val="en-GB" w:eastAsia="zh-CN"/>
        </w:rPr>
        <w:t>成员指定紧急联系人及电话  Member designated emergency contact and telephone</w:t>
      </w:r>
    </w:p>
    <w:p w14:paraId="525E64A5">
      <w:pPr>
        <w:keepNext w:val="0"/>
        <w:rPr>
          <w:color w:val="auto"/>
        </w:rPr>
      </w:pPr>
      <w:r>
        <w:rPr>
          <w:rFonts w:ascii="DejaVu Sans" w:hAnsi="DejaVu Sans" w:eastAsia="Noto Sans CJK SC" w:cs="DejaVu Sans"/>
          <w:b w:val="0"/>
          <w:color w:val="auto"/>
          <w:lang w:val="en-GB" w:eastAsia="zh-CN"/>
        </w:rPr>
        <w:t>________________________________________</w:t>
      </w:r>
    </w:p>
    <w:p w14:paraId="72ED62E4">
      <w:pPr>
        <w:keepNext/>
        <w:spacing w:before="80"/>
        <w:rPr>
          <w:color w:val="auto"/>
        </w:rPr>
      </w:pPr>
      <w:r>
        <w:rPr>
          <w:rFonts w:ascii="Noto Sans CJK SC" w:hAnsi="Noto Sans CJK SC" w:eastAsia="Noto Sans CJK SC" w:cs="Noto Sans CJK SC"/>
          <w:b/>
          <w:color w:val="auto"/>
          <w:lang w:val="en-GB" w:eastAsia="zh-CN"/>
        </w:rPr>
        <w:t>录取类型  Offer type</w:t>
      </w:r>
    </w:p>
    <w:p w14:paraId="639A5829">
      <w:pPr>
        <w:keepNext w:val="0"/>
        <w:rPr>
          <w:color w:val="auto"/>
        </w:rPr>
      </w:pPr>
      <w:r>
        <w:rPr>
          <w:rFonts w:ascii="Noto Sans CJK SC" w:hAnsi="Noto Sans CJK SC" w:eastAsia="Noto Sans CJK SC" w:cs="Noto Sans CJK SC"/>
          <w:b w:val="0"/>
          <w:color w:val="auto"/>
          <w:lang w:val="en-GB" w:eastAsia="zh-CN"/>
        </w:rPr>
        <w:t>选择其一  Select one   □ 付费 Paid   □ 玉榕奖全额项目费资助 Full-fee Fellowship</w:t>
      </w:r>
    </w:p>
    <w:p w14:paraId="621A7C91">
      <w:pPr>
        <w:keepNext/>
        <w:spacing w:before="80"/>
        <w:rPr>
          <w:color w:val="auto"/>
        </w:rPr>
      </w:pPr>
      <w:r>
        <w:rPr>
          <w:rFonts w:ascii="Noto Sans CJK SC" w:hAnsi="Noto Sans CJK SC" w:eastAsia="Noto Sans CJK SC" w:cs="Noto Sans CJK SC"/>
          <w:b/>
          <w:color w:val="auto"/>
          <w:lang w:val="en-GB" w:eastAsia="zh-CN"/>
        </w:rPr>
        <w:t>录取文件日期及期次编号  Offer date and cohort reference</w:t>
      </w:r>
    </w:p>
    <w:p w14:paraId="11D06D92">
      <w:pPr>
        <w:keepNext w:val="0"/>
        <w:rPr>
          <w:color w:val="auto"/>
        </w:rPr>
      </w:pPr>
      <w:r>
        <w:rPr>
          <w:rFonts w:ascii="DejaVu Sans" w:hAnsi="DejaVu Sans" w:eastAsia="Noto Sans CJK SC" w:cs="DejaVu Sans"/>
          <w:b w:val="0"/>
          <w:color w:val="auto"/>
          <w:lang w:val="en-GB" w:eastAsia="zh-CN"/>
        </w:rPr>
        <w:t>________________________________________</w:t>
      </w:r>
    </w:p>
    <w:p w14:paraId="4EF09CA8">
      <w:pPr>
        <w:keepNext/>
        <w:spacing w:before="80"/>
        <w:rPr>
          <w:color w:val="auto"/>
        </w:rPr>
      </w:pPr>
      <w:r>
        <w:rPr>
          <w:rFonts w:ascii="Noto Sans CJK SC" w:hAnsi="Noto Sans CJK SC" w:eastAsia="Noto Sans CJK SC" w:cs="Noto Sans CJK SC"/>
          <w:b/>
          <w:color w:val="auto"/>
          <w:lang w:val="en-GB" w:eastAsia="zh-CN"/>
        </w:rPr>
        <w:t>抵达及离开日期  Arrival and departure dates</w:t>
      </w:r>
    </w:p>
    <w:p w14:paraId="35A75553">
      <w:pPr>
        <w:keepNext w:val="0"/>
        <w:rPr>
          <w:color w:val="auto"/>
        </w:rPr>
      </w:pPr>
      <w:r>
        <w:rPr>
          <w:rFonts w:ascii="DejaVu Sans" w:hAnsi="DejaVu Sans" w:eastAsia="Noto Sans CJK SC" w:cs="DejaVu Sans"/>
          <w:b w:val="0"/>
          <w:color w:val="auto"/>
          <w:lang w:val="en-GB" w:eastAsia="zh-CN"/>
        </w:rPr>
        <w:t>________________________________________</w:t>
      </w:r>
    </w:p>
    <w:p w14:paraId="52CA4455">
      <w:pPr>
        <w:keepNext/>
        <w:spacing w:before="80"/>
        <w:rPr>
          <w:color w:val="auto"/>
        </w:rPr>
      </w:pPr>
      <w:r>
        <w:rPr>
          <w:rFonts w:ascii="Noto Sans CJK SC" w:hAnsi="Noto Sans CJK SC" w:eastAsia="Noto Sans CJK SC" w:cs="Noto Sans CJK SC"/>
          <w:b/>
          <w:color w:val="auto"/>
          <w:lang w:val="en-GB" w:eastAsia="zh-CN"/>
        </w:rPr>
        <w:t>项目开始与结束日期及当地时刻  Commencement and end dates and local times</w:t>
      </w:r>
    </w:p>
    <w:p w14:paraId="275EFE63">
      <w:pPr>
        <w:keepNext w:val="0"/>
        <w:rPr>
          <w:color w:val="auto"/>
        </w:rPr>
      </w:pPr>
      <w:r>
        <w:rPr>
          <w:rFonts w:ascii="Noto Sans CJK SC" w:hAnsi="Noto Sans CJK SC" w:eastAsia="Noto Sans CJK SC" w:cs="Noto Sans CJK SC"/>
          <w:b w:val="0"/>
          <w:color w:val="auto"/>
          <w:lang w:val="en-GB" w:eastAsia="zh-CN"/>
        </w:rPr>
        <w:t>________________________________________   海南当地时间 Hainan time UTC+8</w:t>
      </w:r>
    </w:p>
    <w:p w14:paraId="3C808BED">
      <w:pPr>
        <w:keepNext/>
        <w:spacing w:before="80"/>
        <w:rPr>
          <w:color w:val="auto"/>
        </w:rPr>
      </w:pPr>
      <w:r>
        <w:rPr>
          <w:rFonts w:ascii="Noto Sans CJK SC" w:hAnsi="Noto Sans CJK SC" w:eastAsia="Noto Sans CJK SC" w:cs="Noto Sans CJK SC"/>
          <w:b/>
          <w:color w:val="auto"/>
          <w:lang w:val="en-GB" w:eastAsia="zh-CN"/>
        </w:rPr>
        <w:t>本期核心服务范围及实质标准  Cohort core service scope and substantive standards</w:t>
      </w:r>
    </w:p>
    <w:p w14:paraId="3B999F5C">
      <w:pPr>
        <w:keepNext w:val="0"/>
        <w:rPr>
          <w:color w:val="auto"/>
        </w:rPr>
      </w:pPr>
      <w:r>
        <w:rPr>
          <w:rFonts w:ascii="Noto Sans CJK SC" w:hAnsi="Noto Sans CJK SC" w:eastAsia="Noto Sans CJK SC" w:cs="Noto Sans CJK SC"/>
          <w:b w:val="0"/>
          <w:color w:val="auto"/>
          <w:lang w:val="en-GB" w:eastAsia="zh-CN"/>
        </w:rPr>
        <w:t>依第2条，并附录取时书面说明编号  Under clause 2 and written offer-stage specification reference  __________________</w:t>
      </w:r>
    </w:p>
    <w:p w14:paraId="071ABA71">
      <w:pPr>
        <w:keepNext/>
        <w:spacing w:before="80"/>
        <w:rPr>
          <w:color w:val="auto"/>
        </w:rPr>
      </w:pPr>
      <w:r>
        <w:rPr>
          <w:rFonts w:ascii="Noto Sans CJK SC" w:hAnsi="Noto Sans CJK SC" w:eastAsia="Noto Sans CJK SC" w:cs="Noto Sans CJK SC"/>
          <w:b/>
          <w:color w:val="auto"/>
          <w:lang w:val="en-GB" w:eastAsia="zh-CN"/>
        </w:rPr>
        <w:t>开营确认状态及最迟确认日期  Operation status and latest confirmation date</w:t>
      </w:r>
    </w:p>
    <w:p w14:paraId="4DD54F88">
      <w:pPr>
        <w:keepNext w:val="0"/>
        <w:rPr>
          <w:color w:val="auto"/>
        </w:rPr>
      </w:pPr>
      <w:r>
        <w:rPr>
          <w:rFonts w:ascii="Noto Sans CJK SC" w:hAnsi="Noto Sans CJK SC" w:eastAsia="Noto Sans CJK SC" w:cs="Noto Sans CJK SC"/>
          <w:b w:val="0"/>
          <w:color w:val="auto"/>
          <w:lang w:val="en-GB" w:eastAsia="zh-CN"/>
        </w:rPr>
        <w:t>□ 已书面确认开营 Confirmed in writing   □ 尚待确认 Awaiting confirmation</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如尚待确认，最迟确认日期及书面通知方式  If pending, latest date and written notice route  __________________</w:t>
      </w:r>
    </w:p>
    <w:p w14:paraId="7F6688C8">
      <w:pPr>
        <w:keepNext/>
        <w:spacing w:before="80"/>
        <w:rPr>
          <w:color w:val="auto"/>
        </w:rPr>
      </w:pPr>
      <w:r>
        <w:rPr>
          <w:rFonts w:ascii="Noto Sans CJK SC" w:hAnsi="Noto Sans CJK SC" w:eastAsia="Noto Sans CJK SC" w:cs="Noto Sans CJK SC"/>
          <w:b/>
          <w:color w:val="auto"/>
          <w:lang w:val="en-GB" w:eastAsia="zh-CN"/>
        </w:rPr>
        <w:t>交易币种及合同项目费  Booking currency and contract programme fee</w:t>
      </w:r>
    </w:p>
    <w:p w14:paraId="438744DA">
      <w:pPr>
        <w:keepNext w:val="0"/>
        <w:rPr>
          <w:rFonts w:ascii="Noto Sans CJK SC" w:hAnsi="Noto Sans CJK SC" w:eastAsia="Noto Sans CJK SC" w:cs="Noto Sans CJK SC"/>
          <w:b w:val="0"/>
          <w:color w:val="auto"/>
          <w:lang w:val="en-GB" w:eastAsia="zh-CN"/>
        </w:rPr>
      </w:pPr>
      <w:r>
        <w:rPr>
          <w:rFonts w:ascii="Noto Sans CJK SC" w:hAnsi="Noto Sans CJK SC" w:eastAsia="Noto Sans CJK SC" w:cs="Noto Sans CJK SC"/>
          <w:b w:val="0"/>
          <w:color w:val="auto"/>
          <w:lang w:val="en-GB" w:eastAsia="zh-CN"/>
        </w:rPr>
        <w:t>选择其一  Select one   □ USD 15,000   □ RMB 100,000　</w:t>
      </w:r>
    </w:p>
    <w:p w14:paraId="21DF0DF8">
      <w:pPr>
        <w:keepNext w:val="0"/>
        <w:rPr>
          <w:color w:val="auto"/>
        </w:rPr>
      </w:pPr>
      <w:r>
        <w:rPr>
          <w:rFonts w:ascii="Noto Sans CJK SC" w:hAnsi="Noto Sans CJK SC" w:eastAsia="Noto Sans CJK SC" w:cs="Noto Sans CJK SC"/>
          <w:b w:val="0"/>
          <w:color w:val="auto"/>
          <w:lang w:val="en-GB" w:eastAsia="zh-CN"/>
        </w:rPr>
        <w:t>境外付款的，仅可选择美元。 / Payments from outside mainland China may only be made in USD.</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玉榕奖全额资助的项目费应付金额为零  Amount payable for a full-fee Fellowship is zero</w:t>
      </w:r>
    </w:p>
    <w:p w14:paraId="7E05BD83">
      <w:pPr>
        <w:keepNext/>
        <w:spacing w:before="80"/>
        <w:rPr>
          <w:color w:val="auto"/>
        </w:rPr>
      </w:pPr>
      <w:r>
        <w:rPr>
          <w:rFonts w:ascii="Noto Sans CJK SC" w:hAnsi="Noto Sans CJK SC" w:eastAsia="Noto Sans CJK SC" w:cs="Noto Sans CJK SC"/>
          <w:b/>
          <w:color w:val="auto"/>
          <w:lang w:val="en-GB" w:eastAsia="zh-CN"/>
        </w:rPr>
        <w:t>成员应付金额及已收金额  Member amount payable and amount received</w:t>
      </w:r>
    </w:p>
    <w:p w14:paraId="36A35639">
      <w:pPr>
        <w:keepNext w:val="0"/>
        <w:rPr>
          <w:color w:val="auto"/>
        </w:rPr>
      </w:pPr>
      <w:r>
        <w:rPr>
          <w:rFonts w:ascii="DejaVu Sans" w:hAnsi="DejaVu Sans" w:eastAsia="Noto Sans CJK SC" w:cs="DejaVu Sans"/>
          <w:b w:val="0"/>
          <w:color w:val="auto"/>
          <w:lang w:val="en-GB" w:eastAsia="zh-CN"/>
        </w:rPr>
        <w:t>________________________________________</w:t>
      </w:r>
    </w:p>
    <w:p w14:paraId="6A0C7F32">
      <w:pPr>
        <w:keepNext/>
        <w:spacing w:before="80"/>
        <w:rPr>
          <w:color w:val="auto"/>
        </w:rPr>
      </w:pPr>
      <w:r>
        <w:rPr>
          <w:rFonts w:ascii="Noto Sans CJK SC" w:hAnsi="Noto Sans CJK SC" w:eastAsia="Noto Sans CJK SC" w:cs="Noto Sans CJK SC"/>
          <w:b/>
          <w:color w:val="auto"/>
          <w:lang w:val="en-GB" w:eastAsia="zh-CN"/>
        </w:rPr>
        <w:t>付款期起止时间及名额保护期限  Payment window and place-protection deadline</w:t>
      </w:r>
    </w:p>
    <w:p w14:paraId="64557F15">
      <w:pPr>
        <w:keepNext w:val="0"/>
        <w:rPr>
          <w:color w:val="auto"/>
        </w:rPr>
      </w:pPr>
      <w:r>
        <w:rPr>
          <w:rFonts w:ascii="Noto Sans CJK SC" w:hAnsi="Noto Sans CJK SC" w:eastAsia="Noto Sans CJK SC" w:cs="Noto Sans CJK SC"/>
          <w:b w:val="0"/>
          <w:color w:val="auto"/>
          <w:lang w:val="en-GB" w:eastAsia="zh-CN"/>
        </w:rPr>
        <w:t>________________________________________   海南当地时间 Hainan time UTC+8</w:t>
      </w:r>
    </w:p>
    <w:p w14:paraId="0E214252">
      <w:pPr>
        <w:keepNext/>
        <w:spacing w:before="80"/>
        <w:rPr>
          <w:color w:val="auto"/>
        </w:rPr>
      </w:pPr>
      <w:r>
        <w:rPr>
          <w:rFonts w:ascii="Noto Sans CJK SC" w:hAnsi="Noto Sans CJK SC" w:eastAsia="Noto Sans CJK SC" w:cs="Noto Sans CJK SC"/>
          <w:b/>
          <w:color w:val="auto"/>
          <w:lang w:val="en-GB" w:eastAsia="zh-CN"/>
        </w:rPr>
        <w:t>付款人姓名及与成员关系  Remitter name and relationship</w:t>
      </w:r>
    </w:p>
    <w:p w14:paraId="173D0711">
      <w:pPr>
        <w:keepNext w:val="0"/>
        <w:rPr>
          <w:color w:val="auto"/>
        </w:rPr>
      </w:pPr>
      <w:r>
        <w:rPr>
          <w:rFonts w:ascii="DejaVu Sans" w:hAnsi="DejaVu Sans" w:eastAsia="Noto Sans CJK SC" w:cs="DejaVu Sans"/>
          <w:b w:val="0"/>
          <w:color w:val="auto"/>
          <w:lang w:val="en-GB" w:eastAsia="zh-CN"/>
        </w:rPr>
        <w:t>________________________________________</w:t>
      </w:r>
    </w:p>
    <w:p w14:paraId="570B1B5E">
      <w:pPr>
        <w:keepNext/>
        <w:spacing w:before="80"/>
        <w:rPr>
          <w:color w:val="auto"/>
        </w:rPr>
      </w:pPr>
      <w:r>
        <w:rPr>
          <w:rFonts w:ascii="Noto Sans CJK SC" w:hAnsi="Noto Sans CJK SC" w:eastAsia="Noto Sans CJK SC" w:cs="Noto Sans CJK SC"/>
          <w:b/>
          <w:color w:val="auto"/>
          <w:lang w:val="en-GB" w:eastAsia="zh-CN"/>
        </w:rPr>
        <w:t>退款发起期限  Refund-initiation deadline</w:t>
      </w:r>
    </w:p>
    <w:p w14:paraId="26A8F481">
      <w:pPr>
        <w:keepNext w:val="0"/>
        <w:rPr>
          <w:color w:val="auto"/>
        </w:rPr>
      </w:pPr>
      <w:r>
        <w:rPr>
          <w:rFonts w:ascii="Noto Sans CJK SC" w:hAnsi="Noto Sans CJK SC" w:eastAsia="Noto Sans CJK SC" w:cs="Noto Sans CJK SC"/>
          <w:b w:val="0"/>
          <w:color w:val="auto"/>
          <w:lang w:val="en-GB" w:eastAsia="zh-CN"/>
        </w:rPr>
        <w:t>本期录取时收款前书面确定  Agree in writing for this offer before payment  __________________</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更短法定期限优先  A shorter mandatory deadline prevails</w:t>
      </w:r>
    </w:p>
    <w:p w14:paraId="08B0494E">
      <w:pPr>
        <w:keepNext/>
        <w:spacing w:after="60"/>
        <w:rPr>
          <w:color w:val="auto"/>
        </w:rPr>
      </w:pPr>
      <w:r>
        <w:rPr>
          <w:rFonts w:ascii="Noto Sans CJK SC" w:hAnsi="Noto Sans CJK SC" w:eastAsia="Noto Sans CJK SC" w:cs="Noto Sans CJK SC"/>
          <w:b w:val="0"/>
          <w:color w:val="auto"/>
          <w:lang w:val="en-GB" w:eastAsia="zh-CN"/>
        </w:rPr>
        <w:t>第一部分中尚未完成的具体交易资料，应当在该成员录取时确认，不作为当前预报名阶段已经确定的事实。甲方至迟应当在上列日期就是否开营作出书面通知；甲方不开展或者拟变更期次的，按照第 9 条、第 10 条办理，不得无限期等待或者强制顺延。</w:t>
      </w:r>
    </w:p>
    <w:p w14:paraId="40606B36">
      <w:pPr>
        <w:keepNext w:val="0"/>
        <w:rPr>
          <w:color w:val="auto"/>
        </w:rPr>
      </w:pPr>
      <w:r>
        <w:rPr>
          <w:rFonts w:ascii="DejaVu Sans" w:hAnsi="DejaVu Sans" w:eastAsia="Noto Sans CJK SC" w:cs="DejaVu Sans"/>
          <w:b w:val="0"/>
          <w:color w:val="auto"/>
          <w:lang w:val="en-GB" w:eastAsia="zh-CN"/>
        </w:rPr>
        <w:t>Incomplete transaction details in Part One are confirmed when the Member receives their offer and are not established facts at registration of interest. Notify the operation decision in writing by the date recorded above. Non-operation or a proposed change of cohort follows clauses 9 and 10, without indefinite waiting or compulsory postponement.</w:t>
      </w:r>
    </w:p>
    <w:p w14:paraId="2A597353">
      <w:pPr>
        <w:pStyle w:val="4"/>
        <w:keepNext/>
        <w:rPr>
          <w:color w:val="auto"/>
        </w:rPr>
      </w:pPr>
      <w:r>
        <w:rPr>
          <w:rFonts w:ascii="Noto Sans CJK SC" w:hAnsi="Noto Sans CJK SC" w:eastAsia="Noto Sans CJK SC" w:cs="Noto Sans CJK SC"/>
          <w:b w:val="0"/>
          <w:color w:val="auto"/>
          <w:lang w:val="en-GB" w:eastAsia="zh-CN"/>
        </w:rPr>
        <w:t>第二部分 项目启动后的运营确认</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Part Two Operational confirmations after activation</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100" w:type="dxa"/>
          <w:left w:w="115" w:type="dxa"/>
          <w:bottom w:w="100" w:type="dxa"/>
          <w:right w:w="115" w:type="dxa"/>
        </w:tblCellMar>
      </w:tblPr>
      <w:tblGrid>
        <w:gridCol w:w="3240"/>
        <w:gridCol w:w="6754"/>
      </w:tblGrid>
      <w:tr w14:paraId="3F5BC8B5">
        <w:trPr>
          <w:cantSplit/>
          <w:tblHeader/>
          <w:jc w:val="center"/>
        </w:trPr>
        <w:tc>
          <w:tcPr>
            <w:tcW w:w="3240" w:type="dxa"/>
            <w:shd w:val="clear" w:color="auto" w:fill="E7EBE8"/>
            <w:vAlign w:val="center"/>
          </w:tcPr>
          <w:p w14:paraId="17F77447">
            <w:pPr>
              <w:keepNext w:val="0"/>
              <w:spacing w:after="40" w:line="300" w:lineRule="exact"/>
              <w:rPr>
                <w:color w:val="auto"/>
              </w:rPr>
            </w:pPr>
            <w:r>
              <w:rPr>
                <w:rFonts w:ascii="Noto Sans CJK SC" w:hAnsi="Noto Sans CJK SC" w:eastAsia="Noto Sans CJK SC" w:cs="Noto Sans CJK SC"/>
                <w:b/>
                <w:color w:val="auto"/>
                <w:sz w:val="21"/>
                <w:lang w:val="en-GB" w:eastAsia="zh-CN"/>
              </w:rPr>
              <w:t>安排</w:t>
            </w:r>
            <w:r>
              <w:rPr>
                <w:rFonts w:ascii="Noto Sans CJK SC" w:hAnsi="Noto Sans CJK SC" w:eastAsia="Noto Sans CJK SC" w:cs="Noto Sans CJK SC"/>
                <w:b/>
                <w:color w:val="auto"/>
                <w:sz w:val="21"/>
                <w:lang w:val="en-GB" w:eastAsia="zh-CN"/>
              </w:rPr>
              <w:br w:type="textWrapping"/>
            </w:r>
            <w:r>
              <w:rPr>
                <w:rFonts w:ascii="Noto Sans CJK SC" w:hAnsi="Noto Sans CJK SC" w:eastAsia="Noto Sans CJK SC" w:cs="Noto Sans CJK SC"/>
                <w:b/>
                <w:color w:val="auto"/>
                <w:sz w:val="21"/>
                <w:lang w:val="en-GB" w:eastAsia="zh-CN"/>
              </w:rPr>
              <w:t>Arrangement</w:t>
            </w:r>
          </w:p>
        </w:tc>
        <w:tc>
          <w:tcPr>
            <w:tcW w:w="6754" w:type="dxa"/>
            <w:shd w:val="clear" w:color="auto" w:fill="E7EBE8"/>
            <w:vAlign w:val="center"/>
          </w:tcPr>
          <w:p w14:paraId="0A900B85">
            <w:pPr>
              <w:keepNext w:val="0"/>
              <w:spacing w:after="40" w:line="300" w:lineRule="exact"/>
              <w:rPr>
                <w:color w:val="auto"/>
              </w:rPr>
            </w:pPr>
            <w:r>
              <w:rPr>
                <w:rFonts w:ascii="Noto Sans CJK SC" w:hAnsi="Noto Sans CJK SC" w:eastAsia="Noto Sans CJK SC" w:cs="Noto Sans CJK SC"/>
                <w:b/>
                <w:color w:val="auto"/>
                <w:sz w:val="21"/>
                <w:lang w:val="en-GB" w:eastAsia="zh-CN"/>
              </w:rPr>
              <w:t>书面确定阶段</w:t>
            </w:r>
            <w:r>
              <w:rPr>
                <w:rFonts w:ascii="Noto Sans CJK SC" w:hAnsi="Noto Sans CJK SC" w:eastAsia="Noto Sans CJK SC" w:cs="Noto Sans CJK SC"/>
                <w:b/>
                <w:color w:val="auto"/>
                <w:sz w:val="21"/>
                <w:lang w:val="en-GB" w:eastAsia="zh-CN"/>
              </w:rPr>
              <w:br w:type="textWrapping"/>
            </w:r>
            <w:r>
              <w:rPr>
                <w:rFonts w:ascii="Noto Sans CJK SC" w:hAnsi="Noto Sans CJK SC" w:eastAsia="Noto Sans CJK SC" w:cs="Noto Sans CJK SC"/>
                <w:b/>
                <w:color w:val="auto"/>
                <w:sz w:val="21"/>
                <w:lang w:val="en-GB" w:eastAsia="zh-CN"/>
              </w:rPr>
              <w:t>Stage for written confirmation</w:t>
            </w:r>
          </w:p>
        </w:tc>
      </w:tr>
      <w:tr w14:paraId="6D6D1636">
        <w:trPr>
          <w:cantSplit/>
          <w:jc w:val="center"/>
        </w:trPr>
        <w:tc>
          <w:tcPr>
            <w:tcW w:w="3240" w:type="dxa"/>
            <w:vAlign w:val="center"/>
          </w:tcPr>
          <w:p w14:paraId="19F97B7E">
            <w:pPr>
              <w:keepNext w:val="0"/>
              <w:spacing w:after="40" w:line="300" w:lineRule="exact"/>
              <w:rPr>
                <w:color w:val="auto"/>
              </w:rPr>
            </w:pPr>
            <w:r>
              <w:rPr>
                <w:rFonts w:ascii="Noto Sans CJK SC" w:hAnsi="Noto Sans CJK SC" w:eastAsia="Noto Sans CJK SC" w:cs="Noto Sans CJK SC"/>
                <w:b w:val="0"/>
                <w:color w:val="auto"/>
                <w:sz w:val="21"/>
                <w:lang w:val="en-GB" w:eastAsia="zh-CN"/>
              </w:rPr>
              <w:t>具体住宿及房间卫浴安排</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Accommodation rooms and bathrooms</w:t>
            </w:r>
          </w:p>
        </w:tc>
        <w:tc>
          <w:tcPr>
            <w:tcW w:w="6754" w:type="dxa"/>
            <w:vAlign w:val="center"/>
          </w:tcPr>
          <w:p w14:paraId="31956F47">
            <w:pPr>
              <w:keepNext w:val="0"/>
              <w:spacing w:after="40" w:line="300" w:lineRule="exact"/>
              <w:rPr>
                <w:color w:val="auto"/>
              </w:rPr>
            </w:pPr>
            <w:r>
              <w:rPr>
                <w:rFonts w:ascii="Noto Sans CJK SC" w:hAnsi="Noto Sans CJK SC" w:eastAsia="Noto Sans CJK SC" w:cs="Noto Sans CJK SC"/>
                <w:b w:val="0"/>
                <w:color w:val="auto"/>
                <w:sz w:val="21"/>
                <w:lang w:val="en-GB" w:eastAsia="zh-CN"/>
              </w:rPr>
              <w:t>项目启动后确定，出发前交付；遵守已确认住宿及成员保护标准。</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Settle after activation and supply before departure, consistent with agreed accommodation and safeguarding standards.</w:t>
            </w:r>
          </w:p>
        </w:tc>
      </w:tr>
      <w:tr w14:paraId="29FAB9C6">
        <w:trPr>
          <w:cantSplit/>
          <w:jc w:val="center"/>
        </w:trPr>
        <w:tc>
          <w:tcPr>
            <w:tcW w:w="3240" w:type="dxa"/>
            <w:vAlign w:val="center"/>
          </w:tcPr>
          <w:p w14:paraId="0CBF561B">
            <w:pPr>
              <w:keepNext w:val="0"/>
              <w:spacing w:after="40" w:line="300" w:lineRule="exact"/>
              <w:rPr>
                <w:color w:val="auto"/>
              </w:rPr>
            </w:pPr>
            <w:r>
              <w:rPr>
                <w:rFonts w:ascii="Noto Sans CJK SC" w:hAnsi="Noto Sans CJK SC" w:eastAsia="Noto Sans CJK SC" w:cs="Noto Sans CJK SC"/>
                <w:b w:val="0"/>
                <w:color w:val="auto"/>
                <w:sz w:val="21"/>
                <w:lang w:val="en-GB" w:eastAsia="zh-CN"/>
              </w:rPr>
              <w:t>餐饮及饮食需求安排</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Meals and dietary needs</w:t>
            </w:r>
          </w:p>
        </w:tc>
        <w:tc>
          <w:tcPr>
            <w:tcW w:w="6754" w:type="dxa"/>
            <w:vAlign w:val="center"/>
          </w:tcPr>
          <w:p w14:paraId="3284C371">
            <w:pPr>
              <w:keepNext w:val="0"/>
              <w:spacing w:after="40" w:line="300" w:lineRule="exact"/>
              <w:rPr>
                <w:color w:val="auto"/>
              </w:rPr>
            </w:pPr>
            <w:r>
              <w:rPr>
                <w:rFonts w:ascii="Noto Sans CJK SC" w:hAnsi="Noto Sans CJK SC" w:eastAsia="Noto Sans CJK SC" w:cs="Noto Sans CJK SC"/>
                <w:b w:val="0"/>
                <w:color w:val="auto"/>
                <w:sz w:val="21"/>
                <w:lang w:val="en-GB" w:eastAsia="zh-CN"/>
              </w:rPr>
              <w:t>项目启动后落实服务方及需求处理，出发前说明。</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Arrange providers and dietary handling after activation and explain before departure.</w:t>
            </w:r>
          </w:p>
        </w:tc>
      </w:tr>
      <w:tr w14:paraId="19AC0A09">
        <w:trPr>
          <w:cantSplit/>
          <w:jc w:val="center"/>
        </w:trPr>
        <w:tc>
          <w:tcPr>
            <w:tcW w:w="3240" w:type="dxa"/>
            <w:vAlign w:val="center"/>
          </w:tcPr>
          <w:p w14:paraId="18DFD986">
            <w:pPr>
              <w:keepNext w:val="0"/>
              <w:spacing w:after="40" w:line="300" w:lineRule="exact"/>
              <w:rPr>
                <w:color w:val="auto"/>
              </w:rPr>
            </w:pPr>
            <w:r>
              <w:rPr>
                <w:rFonts w:ascii="Noto Sans CJK SC" w:hAnsi="Noto Sans CJK SC" w:eastAsia="Noto Sans CJK SC" w:cs="Noto Sans CJK SC"/>
                <w:b w:val="0"/>
                <w:color w:val="auto"/>
                <w:sz w:val="21"/>
                <w:lang w:val="en-GB" w:eastAsia="zh-CN"/>
              </w:rPr>
              <w:t>高尔夫场地教练器材及教学安排</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Golf venue instructors equipment and teaching</w:t>
            </w:r>
          </w:p>
        </w:tc>
        <w:tc>
          <w:tcPr>
            <w:tcW w:w="6754" w:type="dxa"/>
            <w:vAlign w:val="center"/>
          </w:tcPr>
          <w:p w14:paraId="1EDB51C9">
            <w:pPr>
              <w:keepNext w:val="0"/>
              <w:spacing w:after="40" w:line="300" w:lineRule="exact"/>
              <w:rPr>
                <w:color w:val="auto"/>
              </w:rPr>
            </w:pPr>
            <w:r>
              <w:rPr>
                <w:rFonts w:ascii="Noto Sans CJK SC" w:hAnsi="Noto Sans CJK SC" w:eastAsia="Noto Sans CJK SC" w:cs="Noto Sans CJK SC"/>
                <w:b w:val="0"/>
                <w:color w:val="auto"/>
                <w:sz w:val="21"/>
                <w:lang w:val="en-GB" w:eastAsia="zh-CN"/>
              </w:rPr>
              <w:t>项目启动后确定；开展前完成资格和安全审核，不降低已约定核心服务。</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Settle after activation; complete qualification and safety review before delivery without reducing agreed core services.</w:t>
            </w:r>
          </w:p>
        </w:tc>
      </w:tr>
      <w:tr w14:paraId="7284B808">
        <w:trPr>
          <w:cantSplit/>
          <w:jc w:val="center"/>
        </w:trPr>
        <w:tc>
          <w:tcPr>
            <w:tcW w:w="3240" w:type="dxa"/>
            <w:vAlign w:val="center"/>
          </w:tcPr>
          <w:p w14:paraId="085503B9">
            <w:pPr>
              <w:keepNext w:val="0"/>
              <w:spacing w:after="40" w:line="300" w:lineRule="exact"/>
              <w:rPr>
                <w:color w:val="auto"/>
              </w:rPr>
            </w:pPr>
            <w:r>
              <w:rPr>
                <w:rFonts w:ascii="Noto Sans CJK SC" w:hAnsi="Noto Sans CJK SC" w:eastAsia="Noto Sans CJK SC" w:cs="Noto Sans CJK SC"/>
                <w:b w:val="0"/>
                <w:color w:val="auto"/>
                <w:sz w:val="21"/>
                <w:lang w:val="en-GB" w:eastAsia="zh-CN"/>
              </w:rPr>
              <w:t>午后活动共创与服务方</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Afternoon activities Banyan Lab and providers</w:t>
            </w:r>
          </w:p>
        </w:tc>
        <w:tc>
          <w:tcPr>
            <w:tcW w:w="6754" w:type="dxa"/>
            <w:vAlign w:val="center"/>
          </w:tcPr>
          <w:p w14:paraId="43425EA0">
            <w:pPr>
              <w:keepNext w:val="0"/>
              <w:spacing w:after="40" w:line="300" w:lineRule="exact"/>
              <w:rPr>
                <w:color w:val="auto"/>
              </w:rPr>
            </w:pPr>
            <w:r>
              <w:rPr>
                <w:rFonts w:ascii="Noto Sans CJK SC" w:hAnsi="Noto Sans CJK SC" w:eastAsia="Noto Sans CJK SC" w:cs="Noto Sans CJK SC"/>
                <w:b w:val="0"/>
                <w:color w:val="auto"/>
                <w:sz w:val="21"/>
                <w:lang w:val="en-GB" w:eastAsia="zh-CN"/>
              </w:rPr>
              <w:t>开营确认后选择，安排前完成审核；额外保险要求告知并允许补足。</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Select after operation confirmation, review before scheduling and allow notified insurance shortfalls to be addressed.</w:t>
            </w:r>
          </w:p>
        </w:tc>
      </w:tr>
      <w:tr w14:paraId="52074DC4">
        <w:trPr>
          <w:cantSplit/>
          <w:jc w:val="center"/>
        </w:trPr>
        <w:tc>
          <w:tcPr>
            <w:tcW w:w="3240" w:type="dxa"/>
            <w:vAlign w:val="center"/>
          </w:tcPr>
          <w:p w14:paraId="20132C99">
            <w:pPr>
              <w:keepNext w:val="0"/>
              <w:spacing w:after="40" w:line="300" w:lineRule="exact"/>
              <w:rPr>
                <w:color w:val="auto"/>
              </w:rPr>
            </w:pPr>
            <w:r>
              <w:rPr>
                <w:rFonts w:ascii="Noto Sans CJK SC" w:hAnsi="Noto Sans CJK SC" w:eastAsia="Noto Sans CJK SC" w:cs="Noto Sans CJK SC"/>
                <w:b w:val="0"/>
                <w:color w:val="auto"/>
                <w:sz w:val="21"/>
                <w:lang w:val="en-GB" w:eastAsia="zh-CN"/>
              </w:rPr>
              <w:t>机场接送及安全交接</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Airport transfers and safe handover</w:t>
            </w:r>
          </w:p>
        </w:tc>
        <w:tc>
          <w:tcPr>
            <w:tcW w:w="6754" w:type="dxa"/>
            <w:vAlign w:val="center"/>
          </w:tcPr>
          <w:p w14:paraId="5905A60F">
            <w:pPr>
              <w:keepNext w:val="0"/>
              <w:spacing w:after="40" w:line="300" w:lineRule="exact"/>
              <w:rPr>
                <w:color w:val="auto"/>
              </w:rPr>
            </w:pPr>
            <w:r>
              <w:rPr>
                <w:rFonts w:ascii="Noto Sans CJK SC" w:hAnsi="Noto Sans CJK SC" w:eastAsia="Noto Sans CJK SC" w:cs="Noto Sans CJK SC"/>
                <w:b w:val="0"/>
                <w:color w:val="auto"/>
                <w:sz w:val="21"/>
                <w:lang w:val="en-GB" w:eastAsia="zh-CN"/>
              </w:rPr>
              <w:t>出发前确认集合信息、时间及核验安排；非标准接送另行书面确定。</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Confirm meeting times and verification before departure; non-standard transfers require separate written arrangements.</w:t>
            </w:r>
          </w:p>
        </w:tc>
      </w:tr>
      <w:tr w14:paraId="4D194995">
        <w:trPr>
          <w:cantSplit/>
          <w:jc w:val="center"/>
        </w:trPr>
        <w:tc>
          <w:tcPr>
            <w:tcW w:w="3240" w:type="dxa"/>
            <w:vAlign w:val="center"/>
          </w:tcPr>
          <w:p w14:paraId="3AB64863">
            <w:pPr>
              <w:keepNext w:val="0"/>
              <w:spacing w:after="40" w:line="300" w:lineRule="exact"/>
              <w:rPr>
                <w:color w:val="auto"/>
              </w:rPr>
            </w:pPr>
            <w:r>
              <w:rPr>
                <w:rFonts w:ascii="Noto Sans CJK SC" w:hAnsi="Noto Sans CJK SC" w:eastAsia="Noto Sans CJK SC" w:cs="Noto Sans CJK SC"/>
                <w:b w:val="0"/>
                <w:color w:val="auto"/>
                <w:sz w:val="21"/>
                <w:lang w:val="en-GB" w:eastAsia="zh-CN"/>
              </w:rPr>
              <w:t>正式紧急渠道及备用渠道</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Official urgent and backup routes</w:t>
            </w:r>
          </w:p>
        </w:tc>
        <w:tc>
          <w:tcPr>
            <w:tcW w:w="6754" w:type="dxa"/>
            <w:vAlign w:val="center"/>
          </w:tcPr>
          <w:p w14:paraId="19576A14">
            <w:pPr>
              <w:keepNext w:val="0"/>
              <w:spacing w:after="40" w:line="300" w:lineRule="exact"/>
              <w:rPr>
                <w:color w:val="auto"/>
              </w:rPr>
            </w:pPr>
            <w:r>
              <w:rPr>
                <w:rFonts w:ascii="Noto Sans CJK SC" w:hAnsi="Noto Sans CJK SC" w:eastAsia="Noto Sans CJK SC" w:cs="Noto Sans CJK SC"/>
                <w:b w:val="0"/>
                <w:color w:val="auto"/>
                <w:sz w:val="21"/>
                <w:lang w:val="en-GB" w:eastAsia="zh-CN"/>
              </w:rPr>
              <w:t>抵达前提供联系人、实际联系方式及适用时段。</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Supply names, actual contacts and applicable hours before arrival.</w:t>
            </w:r>
          </w:p>
        </w:tc>
      </w:tr>
      <w:tr w14:paraId="46244746">
        <w:trPr>
          <w:cantSplit/>
          <w:jc w:val="center"/>
        </w:trPr>
        <w:tc>
          <w:tcPr>
            <w:tcW w:w="3240" w:type="dxa"/>
            <w:vAlign w:val="center"/>
          </w:tcPr>
          <w:p w14:paraId="4F0A8B4C">
            <w:pPr>
              <w:keepNext w:val="0"/>
              <w:spacing w:after="40" w:line="300" w:lineRule="exact"/>
              <w:rPr>
                <w:color w:val="auto"/>
              </w:rPr>
            </w:pPr>
            <w:r>
              <w:rPr>
                <w:rFonts w:ascii="Noto Sans CJK SC" w:hAnsi="Noto Sans CJK SC" w:eastAsia="Noto Sans CJK SC" w:cs="Noto Sans CJK SC"/>
                <w:b w:val="0"/>
                <w:color w:val="auto"/>
                <w:sz w:val="21"/>
                <w:lang w:val="en-GB" w:eastAsia="zh-CN"/>
              </w:rPr>
              <w:t>设备及定位数据安排</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Devices and location-data arrangements</w:t>
            </w:r>
          </w:p>
        </w:tc>
        <w:tc>
          <w:tcPr>
            <w:tcW w:w="6754" w:type="dxa"/>
            <w:vAlign w:val="center"/>
          </w:tcPr>
          <w:p w14:paraId="1ABB0589">
            <w:pPr>
              <w:keepNext w:val="0"/>
              <w:spacing w:after="40" w:line="300" w:lineRule="exact"/>
              <w:rPr>
                <w:color w:val="auto"/>
              </w:rPr>
            </w:pPr>
            <w:r>
              <w:rPr>
                <w:rFonts w:ascii="Noto Sans CJK SC" w:hAnsi="Noto Sans CJK SC" w:eastAsia="Noto Sans CJK SC" w:cs="Noto Sans CJK SC"/>
                <w:b w:val="0"/>
                <w:color w:val="auto"/>
                <w:sz w:val="21"/>
                <w:lang w:val="en-GB" w:eastAsia="zh-CN"/>
              </w:rPr>
              <w:t>项目启动后确定，处理定位前完成告知、单独同意及法定手续。</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Settle after activation; complete notice, separate consent and legal steps before location processing.</w:t>
            </w:r>
          </w:p>
        </w:tc>
      </w:tr>
      <w:tr w14:paraId="3D4AB9DC">
        <w:trPr>
          <w:cantSplit/>
          <w:jc w:val="center"/>
        </w:trPr>
        <w:tc>
          <w:tcPr>
            <w:tcW w:w="3240" w:type="dxa"/>
            <w:vAlign w:val="center"/>
          </w:tcPr>
          <w:p w14:paraId="06EA5AFC">
            <w:pPr>
              <w:keepNext w:val="0"/>
              <w:spacing w:after="40" w:line="300" w:lineRule="exact"/>
              <w:rPr>
                <w:color w:val="auto"/>
              </w:rPr>
            </w:pPr>
            <w:r>
              <w:rPr>
                <w:rFonts w:ascii="Noto Sans CJK SC" w:hAnsi="Noto Sans CJK SC" w:eastAsia="Noto Sans CJK SC" w:cs="Noto Sans CJK SC"/>
                <w:b w:val="0"/>
                <w:color w:val="auto"/>
                <w:sz w:val="21"/>
                <w:lang w:val="en-GB" w:eastAsia="zh-CN"/>
              </w:rPr>
              <w:t>企业责任保险及服务方保险</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Company liability and provider insurance</w:t>
            </w:r>
          </w:p>
        </w:tc>
        <w:tc>
          <w:tcPr>
            <w:tcW w:w="6754" w:type="dxa"/>
            <w:vAlign w:val="center"/>
          </w:tcPr>
          <w:p w14:paraId="7E797E42">
            <w:pPr>
              <w:keepNext w:val="0"/>
              <w:spacing w:after="40" w:line="300" w:lineRule="exact"/>
              <w:rPr>
                <w:color w:val="auto"/>
              </w:rPr>
            </w:pPr>
            <w:r>
              <w:rPr>
                <w:rFonts w:ascii="Noto Sans CJK SC" w:hAnsi="Noto Sans CJK SC" w:eastAsia="Noto Sans CJK SC" w:cs="Noto Sans CJK SC"/>
                <w:b w:val="0"/>
                <w:color w:val="auto"/>
                <w:sz w:val="21"/>
                <w:lang w:val="en-GB" w:eastAsia="zh-CN"/>
              </w:rPr>
              <w:t>项目启动后按实际方案安排；适用保障于首次由甲方安排的接送或者项目活动开始前，以较早者为准生效。</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Arrange under the actual plan after activation; applicable cover starts before the first Provider-arranged transfer or programme activity, whichever is earlier.</w:t>
            </w:r>
          </w:p>
        </w:tc>
      </w:tr>
    </w:tbl>
    <w:p w14:paraId="40E111CD">
      <w:pPr>
        <w:keepNext/>
        <w:spacing w:before="80"/>
        <w:rPr>
          <w:color w:val="auto"/>
        </w:rPr>
      </w:pPr>
      <w:r>
        <w:rPr>
          <w:rFonts w:ascii="Noto Sans CJK SC" w:hAnsi="Noto Sans CJK SC" w:eastAsia="Noto Sans CJK SC" w:cs="Noto Sans CJK SC"/>
          <w:b/>
          <w:color w:val="auto"/>
          <w:lang w:val="en-GB" w:eastAsia="zh-CN"/>
        </w:rPr>
        <w:t>本期行前安排文件编号及交付日期  Pre-departure arrangement reference and supply date</w:t>
      </w:r>
    </w:p>
    <w:p w14:paraId="49A4641C">
      <w:pPr>
        <w:keepNext w:val="0"/>
        <w:rPr>
          <w:color w:val="auto"/>
        </w:rPr>
      </w:pPr>
      <w:r>
        <w:rPr>
          <w:rFonts w:ascii="DejaVu Sans" w:hAnsi="DejaVu Sans" w:eastAsia="Noto Sans CJK SC" w:cs="DejaVu Sans"/>
          <w:b w:val="0"/>
          <w:color w:val="auto"/>
          <w:lang w:val="en-GB" w:eastAsia="zh-CN"/>
        </w:rPr>
        <w:t>________________________________________</w:t>
      </w:r>
    </w:p>
    <w:p w14:paraId="71780875">
      <w:pPr>
        <w:keepNext/>
        <w:spacing w:before="80"/>
        <w:rPr>
          <w:color w:val="auto"/>
        </w:rPr>
      </w:pPr>
      <w:r>
        <w:rPr>
          <w:rFonts w:ascii="Noto Sans CJK SC" w:hAnsi="Noto Sans CJK SC" w:eastAsia="Noto Sans CJK SC" w:cs="Noto Sans CJK SC"/>
          <w:b/>
          <w:color w:val="auto"/>
          <w:lang w:val="en-GB" w:eastAsia="zh-CN"/>
        </w:rPr>
        <w:t>经协商确认的补充安排  Negotiated supplements</w:t>
      </w:r>
    </w:p>
    <w:p w14:paraId="414C2291">
      <w:pPr>
        <w:keepNext w:val="0"/>
        <w:rPr>
          <w:color w:val="auto"/>
        </w:rPr>
      </w:pPr>
      <w:r>
        <w:rPr>
          <w:rFonts w:ascii="Noto Sans CJK SC" w:hAnsi="Noto Sans CJK SC" w:eastAsia="Noto Sans CJK SC" w:cs="Noto Sans CJK SC"/>
          <w:b w:val="0"/>
          <w:color w:val="auto"/>
          <w:lang w:val="en-GB" w:eastAsia="zh-CN"/>
        </w:rPr>
        <w:t>无或另附书面补充页  None or attach agreed written supplement  __________________</w:t>
      </w:r>
    </w:p>
    <w:p w14:paraId="191A8084">
      <w:pPr>
        <w:pStyle w:val="3"/>
        <w:keepNext/>
        <w:pageBreakBefore/>
        <w:rPr>
          <w:color w:val="auto"/>
        </w:rPr>
      </w:pPr>
      <w:r>
        <w:rPr>
          <w:rFonts w:ascii="Noto Sans CJK SC" w:hAnsi="Noto Sans CJK SC" w:eastAsia="Noto Sans CJK SC" w:cs="Noto Sans CJK SC"/>
          <w:b w:val="0"/>
          <w:color w:val="auto"/>
          <w:lang w:val="en-GB" w:eastAsia="zh-CN"/>
        </w:rPr>
        <w:t>附表 B 公司收款信息</w:t>
      </w:r>
    </w:p>
    <w:p w14:paraId="680CD881">
      <w:pPr>
        <w:pStyle w:val="4"/>
        <w:keepNext/>
        <w:spacing w:before="0" w:after="180"/>
        <w:rPr>
          <w:color w:val="auto"/>
        </w:rPr>
      </w:pPr>
      <w:r>
        <w:rPr>
          <w:rFonts w:ascii="DejaVu Sans" w:hAnsi="DejaVu Sans" w:eastAsia="Noto Sans CJK SC" w:cs="DejaVu Sans"/>
          <w:b w:val="0"/>
          <w:color w:val="auto"/>
          <w:lang w:val="en-GB" w:eastAsia="zh-CN"/>
        </w:rPr>
        <w:t>Schedule B Company payment instructions</w:t>
      </w:r>
    </w:p>
    <w:p w14:paraId="139D3317">
      <w:pPr>
        <w:keepNext/>
        <w:spacing w:after="60"/>
        <w:rPr>
          <w:color w:val="auto"/>
        </w:rPr>
      </w:pPr>
      <w:r>
        <w:rPr>
          <w:rFonts w:ascii="Noto Sans CJK SC" w:hAnsi="Noto Sans CJK SC" w:eastAsia="Noto Sans CJK SC" w:cs="Noto Sans CJK SC"/>
          <w:b w:val="0"/>
          <w:color w:val="auto"/>
          <w:lang w:val="en-GB" w:eastAsia="zh-CN"/>
        </w:rPr>
        <w:t>成员及未成年成员的监护人在满足第 1 条、第 3 条及保险单独确认要求后，按附表 A 的币种向对应的公司账户付款，汇款附言使用录取／合同参考号。甲方不得要求成员向两个账户分别付款。</w:t>
      </w:r>
    </w:p>
    <w:p w14:paraId="29A6D47B">
      <w:pPr>
        <w:keepNext w:val="0"/>
        <w:rPr>
          <w:color w:val="auto"/>
        </w:rPr>
      </w:pPr>
      <w:r>
        <w:rPr>
          <w:rFonts w:ascii="DejaVu Sans" w:hAnsi="DejaVu Sans" w:eastAsia="Noto Sans CJK SC" w:cs="DejaVu Sans"/>
          <w:b w:val="0"/>
          <w:color w:val="auto"/>
          <w:lang w:val="en-GB" w:eastAsia="zh-CN"/>
        </w:rPr>
        <w:t>After the prerequisites in clauses 1 and 3 and separate insurance acknowledgement are met, pay the Schedule A currency into its corresponding company account and use the offer or contract reference. Do not pay into both accounts.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100" w:type="dxa"/>
          <w:left w:w="115" w:type="dxa"/>
          <w:bottom w:w="100" w:type="dxa"/>
          <w:right w:w="115" w:type="dxa"/>
        </w:tblCellMar>
      </w:tblPr>
      <w:tblGrid>
        <w:gridCol w:w="2088"/>
        <w:gridCol w:w="4032"/>
        <w:gridCol w:w="3874"/>
      </w:tblGrid>
      <w:tr w14:paraId="1FEF3EF3">
        <w:trPr>
          <w:cantSplit/>
          <w:tblHeader/>
          <w:jc w:val="center"/>
        </w:trPr>
        <w:tc>
          <w:tcPr>
            <w:tcW w:w="2088" w:type="dxa"/>
            <w:shd w:val="clear" w:color="auto" w:fill="E7EBE8"/>
            <w:vAlign w:val="center"/>
          </w:tcPr>
          <w:p w14:paraId="580FA339">
            <w:pPr>
              <w:keepNext w:val="0"/>
              <w:spacing w:after="40" w:line="300" w:lineRule="exact"/>
              <w:rPr>
                <w:color w:val="auto"/>
              </w:rPr>
            </w:pPr>
            <w:r>
              <w:rPr>
                <w:rFonts w:ascii="Noto Sans CJK SC" w:hAnsi="Noto Sans CJK SC" w:eastAsia="Noto Sans CJK SC" w:cs="Noto Sans CJK SC"/>
                <w:b/>
                <w:color w:val="auto"/>
                <w:sz w:val="21"/>
                <w:lang w:val="en-GB" w:eastAsia="zh-CN"/>
              </w:rPr>
              <w:t>项目</w:t>
            </w:r>
            <w:r>
              <w:rPr>
                <w:rFonts w:ascii="Noto Sans CJK SC" w:hAnsi="Noto Sans CJK SC" w:eastAsia="Noto Sans CJK SC" w:cs="Noto Sans CJK SC"/>
                <w:b/>
                <w:color w:val="auto"/>
                <w:sz w:val="21"/>
                <w:lang w:val="en-GB" w:eastAsia="zh-CN"/>
              </w:rPr>
              <w:br w:type="textWrapping"/>
            </w:r>
            <w:r>
              <w:rPr>
                <w:rFonts w:ascii="Noto Sans CJK SC" w:hAnsi="Noto Sans CJK SC" w:eastAsia="Noto Sans CJK SC" w:cs="Noto Sans CJK SC"/>
                <w:b/>
                <w:color w:val="auto"/>
                <w:sz w:val="21"/>
                <w:lang w:val="en-GB" w:eastAsia="zh-CN"/>
              </w:rPr>
              <w:t>Field</w:t>
            </w:r>
          </w:p>
        </w:tc>
        <w:tc>
          <w:tcPr>
            <w:tcW w:w="4032" w:type="dxa"/>
            <w:shd w:val="clear" w:color="auto" w:fill="E7EBE8"/>
            <w:vAlign w:val="center"/>
          </w:tcPr>
          <w:p w14:paraId="2920E835">
            <w:pPr>
              <w:keepNext w:val="0"/>
              <w:spacing w:after="40" w:line="300" w:lineRule="exact"/>
              <w:rPr>
                <w:color w:val="auto"/>
              </w:rPr>
            </w:pPr>
            <w:r>
              <w:rPr>
                <w:rFonts w:ascii="Noto Sans CJK SC" w:hAnsi="Noto Sans CJK SC" w:eastAsia="Noto Sans CJK SC" w:cs="Noto Sans CJK SC"/>
                <w:b/>
                <w:color w:val="auto"/>
                <w:sz w:val="21"/>
                <w:lang w:val="en-GB" w:eastAsia="zh-CN"/>
              </w:rPr>
              <w:t>美元账户</w:t>
            </w:r>
            <w:r>
              <w:rPr>
                <w:rFonts w:ascii="Noto Sans CJK SC" w:hAnsi="Noto Sans CJK SC" w:eastAsia="Noto Sans CJK SC" w:cs="Noto Sans CJK SC"/>
                <w:b/>
                <w:color w:val="auto"/>
                <w:sz w:val="21"/>
                <w:lang w:val="en-GB" w:eastAsia="zh-CN"/>
              </w:rPr>
              <w:br w:type="textWrapping"/>
            </w:r>
            <w:r>
              <w:rPr>
                <w:rFonts w:ascii="Noto Sans CJK SC" w:hAnsi="Noto Sans CJK SC" w:eastAsia="Noto Sans CJK SC" w:cs="Noto Sans CJK SC"/>
                <w:b/>
                <w:color w:val="auto"/>
                <w:sz w:val="21"/>
                <w:lang w:val="en-GB" w:eastAsia="zh-CN"/>
              </w:rPr>
              <w:t>USD account</w:t>
            </w:r>
          </w:p>
        </w:tc>
        <w:tc>
          <w:tcPr>
            <w:tcW w:w="3874" w:type="dxa"/>
            <w:shd w:val="clear" w:color="auto" w:fill="E7EBE8"/>
            <w:vAlign w:val="center"/>
          </w:tcPr>
          <w:p w14:paraId="3F0B4A80">
            <w:pPr>
              <w:keepNext w:val="0"/>
              <w:spacing w:after="40" w:line="300" w:lineRule="exact"/>
              <w:rPr>
                <w:color w:val="auto"/>
              </w:rPr>
            </w:pPr>
            <w:r>
              <w:rPr>
                <w:rFonts w:ascii="Noto Sans CJK SC" w:hAnsi="Noto Sans CJK SC" w:eastAsia="Noto Sans CJK SC" w:cs="Noto Sans CJK SC"/>
                <w:b/>
                <w:color w:val="auto"/>
                <w:sz w:val="21"/>
                <w:lang w:val="en-GB" w:eastAsia="zh-CN"/>
              </w:rPr>
              <w:t>人民币账户</w:t>
            </w:r>
            <w:r>
              <w:rPr>
                <w:rFonts w:ascii="Noto Sans CJK SC" w:hAnsi="Noto Sans CJK SC" w:eastAsia="Noto Sans CJK SC" w:cs="Noto Sans CJK SC"/>
                <w:b/>
                <w:color w:val="auto"/>
                <w:sz w:val="21"/>
                <w:lang w:val="en-GB" w:eastAsia="zh-CN"/>
              </w:rPr>
              <w:br w:type="textWrapping"/>
            </w:r>
            <w:r>
              <w:rPr>
                <w:rFonts w:ascii="Noto Sans CJK SC" w:hAnsi="Noto Sans CJK SC" w:eastAsia="Noto Sans CJK SC" w:cs="Noto Sans CJK SC"/>
                <w:b/>
                <w:color w:val="auto"/>
                <w:sz w:val="21"/>
                <w:lang w:val="en-GB" w:eastAsia="zh-CN"/>
              </w:rPr>
              <w:t>RMB account</w:t>
            </w:r>
          </w:p>
        </w:tc>
      </w:tr>
      <w:tr w14:paraId="285D54EE">
        <w:trPr>
          <w:cantSplit/>
          <w:jc w:val="center"/>
        </w:trPr>
        <w:tc>
          <w:tcPr>
            <w:tcW w:w="2088" w:type="dxa"/>
            <w:vAlign w:val="center"/>
          </w:tcPr>
          <w:p w14:paraId="5917C74B">
            <w:pPr>
              <w:keepNext w:val="0"/>
              <w:spacing w:after="40" w:line="300" w:lineRule="exact"/>
              <w:rPr>
                <w:color w:val="auto"/>
              </w:rPr>
            </w:pPr>
            <w:r>
              <w:rPr>
                <w:rFonts w:ascii="Noto Sans CJK SC" w:hAnsi="Noto Sans CJK SC" w:eastAsia="Noto Sans CJK SC" w:cs="Noto Sans CJK SC"/>
                <w:b w:val="0"/>
                <w:color w:val="auto"/>
                <w:sz w:val="21"/>
                <w:lang w:val="en-GB" w:eastAsia="zh-CN"/>
              </w:rPr>
              <w:t>公司户名</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Beneficiary name</w:t>
            </w:r>
          </w:p>
        </w:tc>
        <w:tc>
          <w:tcPr>
            <w:tcW w:w="4032" w:type="dxa"/>
            <w:vAlign w:val="center"/>
          </w:tcPr>
          <w:p w14:paraId="3F23C76D">
            <w:pPr>
              <w:keepNext w:val="0"/>
              <w:spacing w:after="40" w:line="300" w:lineRule="exact"/>
              <w:rPr>
                <w:color w:val="auto"/>
              </w:rPr>
            </w:pPr>
            <w:r>
              <w:rPr>
                <w:rFonts w:ascii="DejaVu Sans" w:hAnsi="DejaVu Sans" w:eastAsia="Noto Sans CJK SC" w:cs="DejaVu Sans"/>
                <w:b w:val="0"/>
                <w:color w:val="auto"/>
                <w:sz w:val="21"/>
                <w:lang w:val="en-GB" w:eastAsia="zh-CN"/>
              </w:rPr>
              <w:t>Hainan Keraunos Education Technology Co., Ltd.</w:t>
            </w:r>
          </w:p>
        </w:tc>
        <w:tc>
          <w:tcPr>
            <w:tcW w:w="3874" w:type="dxa"/>
            <w:vAlign w:val="center"/>
          </w:tcPr>
          <w:p w14:paraId="62FBBF92">
            <w:pPr>
              <w:keepNext w:val="0"/>
              <w:spacing w:after="40" w:line="300" w:lineRule="exact"/>
              <w:rPr>
                <w:color w:val="auto"/>
              </w:rPr>
            </w:pPr>
            <w:r>
              <w:rPr>
                <w:rFonts w:ascii="Noto Sans CJK SC" w:hAnsi="Noto Sans CJK SC" w:eastAsia="Noto Sans CJK SC" w:cs="Noto Sans CJK SC"/>
                <w:b w:val="0"/>
                <w:color w:val="auto"/>
                <w:sz w:val="21"/>
                <w:lang w:val="en-GB" w:eastAsia="zh-CN"/>
              </w:rPr>
              <w:t>海南闪电归来教育科技有限公司</w:t>
            </w:r>
          </w:p>
        </w:tc>
      </w:tr>
      <w:tr w14:paraId="567E2148">
        <w:trPr>
          <w:cantSplit/>
          <w:jc w:val="center"/>
        </w:trPr>
        <w:tc>
          <w:tcPr>
            <w:tcW w:w="2088" w:type="dxa"/>
            <w:vAlign w:val="center"/>
          </w:tcPr>
          <w:p w14:paraId="209A7711">
            <w:pPr>
              <w:keepNext w:val="0"/>
              <w:spacing w:after="40" w:line="300" w:lineRule="exact"/>
              <w:rPr>
                <w:color w:val="auto"/>
              </w:rPr>
            </w:pPr>
            <w:r>
              <w:rPr>
                <w:rFonts w:ascii="Noto Sans CJK SC" w:hAnsi="Noto Sans CJK SC" w:eastAsia="Noto Sans CJK SC" w:cs="Noto Sans CJK SC"/>
                <w:b w:val="0"/>
                <w:color w:val="auto"/>
                <w:sz w:val="21"/>
                <w:lang w:val="en-GB" w:eastAsia="zh-CN"/>
              </w:rPr>
              <w:t>账号</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Account number</w:t>
            </w:r>
          </w:p>
        </w:tc>
        <w:tc>
          <w:tcPr>
            <w:tcW w:w="4032" w:type="dxa"/>
            <w:vAlign w:val="center"/>
          </w:tcPr>
          <w:p w14:paraId="1FE3D7E7">
            <w:pPr>
              <w:keepNext w:val="0"/>
              <w:spacing w:after="40" w:line="300" w:lineRule="exact"/>
              <w:rPr>
                <w:color w:val="auto"/>
              </w:rPr>
            </w:pPr>
            <w:r>
              <w:rPr>
                <w:rFonts w:ascii="DejaVu Sans" w:hAnsi="DejaVu Sans" w:eastAsia="Noto Sans CJK SC" w:cs="DejaVu Sans"/>
                <w:b w:val="0"/>
                <w:color w:val="auto"/>
                <w:sz w:val="21"/>
                <w:lang w:val="en-GB" w:eastAsia="zh-CN"/>
              </w:rPr>
              <w:t>266245018647</w:t>
            </w:r>
          </w:p>
        </w:tc>
        <w:tc>
          <w:tcPr>
            <w:tcW w:w="3874" w:type="dxa"/>
            <w:vAlign w:val="center"/>
          </w:tcPr>
          <w:p w14:paraId="59CEE88A">
            <w:pPr>
              <w:keepNext w:val="0"/>
              <w:spacing w:after="40" w:line="300" w:lineRule="exact"/>
              <w:rPr>
                <w:color w:val="auto"/>
              </w:rPr>
            </w:pPr>
            <w:r>
              <w:rPr>
                <w:rFonts w:ascii="DejaVu Sans" w:hAnsi="DejaVu Sans" w:eastAsia="Noto Sans CJK SC" w:cs="DejaVu Sans"/>
                <w:b w:val="0"/>
                <w:color w:val="auto"/>
                <w:sz w:val="21"/>
                <w:lang w:val="en-GB" w:eastAsia="zh-CN"/>
              </w:rPr>
              <w:t>267539822479</w:t>
            </w:r>
          </w:p>
        </w:tc>
      </w:tr>
      <w:tr w14:paraId="41D70D2A">
        <w:trPr>
          <w:cantSplit/>
          <w:jc w:val="center"/>
        </w:trPr>
        <w:tc>
          <w:tcPr>
            <w:tcW w:w="2088" w:type="dxa"/>
            <w:vAlign w:val="center"/>
          </w:tcPr>
          <w:p w14:paraId="47961138">
            <w:pPr>
              <w:keepNext w:val="0"/>
              <w:spacing w:after="40" w:line="300" w:lineRule="exact"/>
              <w:rPr>
                <w:color w:val="auto"/>
              </w:rPr>
            </w:pPr>
            <w:r>
              <w:rPr>
                <w:rFonts w:ascii="Noto Sans CJK SC" w:hAnsi="Noto Sans CJK SC" w:eastAsia="Noto Sans CJK SC" w:cs="Noto Sans CJK SC"/>
                <w:b w:val="0"/>
                <w:color w:val="auto"/>
                <w:sz w:val="21"/>
                <w:lang w:val="en-GB" w:eastAsia="zh-CN"/>
              </w:rPr>
              <w:t>开户银行</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Bank</w:t>
            </w:r>
          </w:p>
        </w:tc>
        <w:tc>
          <w:tcPr>
            <w:tcW w:w="4032" w:type="dxa"/>
            <w:vAlign w:val="center"/>
          </w:tcPr>
          <w:p w14:paraId="4BFE5EDC">
            <w:pPr>
              <w:keepNext w:val="0"/>
              <w:spacing w:after="40" w:line="300" w:lineRule="exact"/>
              <w:rPr>
                <w:color w:val="auto"/>
              </w:rPr>
            </w:pPr>
            <w:r>
              <w:rPr>
                <w:rFonts w:ascii="DejaVu Sans" w:hAnsi="DejaVu Sans" w:eastAsia="Noto Sans CJK SC" w:cs="DejaVu Sans"/>
                <w:b w:val="0"/>
                <w:color w:val="auto"/>
                <w:sz w:val="21"/>
                <w:lang w:val="en-GB" w:eastAsia="zh-CN"/>
              </w:rPr>
              <w:t>BANK OF CHINA</w:t>
            </w:r>
          </w:p>
        </w:tc>
        <w:tc>
          <w:tcPr>
            <w:tcW w:w="3874" w:type="dxa"/>
            <w:vAlign w:val="center"/>
          </w:tcPr>
          <w:p w14:paraId="181F90A3">
            <w:pPr>
              <w:keepNext w:val="0"/>
              <w:spacing w:after="40" w:line="300" w:lineRule="exact"/>
              <w:rPr>
                <w:color w:val="auto"/>
              </w:rPr>
            </w:pPr>
            <w:r>
              <w:rPr>
                <w:rFonts w:ascii="Noto Sans CJK SC" w:hAnsi="Noto Sans CJK SC" w:eastAsia="Noto Sans CJK SC" w:cs="Noto Sans CJK SC"/>
                <w:b w:val="0"/>
                <w:color w:val="auto"/>
                <w:sz w:val="21"/>
                <w:lang w:val="en-GB" w:eastAsia="zh-CN"/>
              </w:rPr>
              <w:t>中国银行海口凤翔路支行</w:t>
            </w:r>
          </w:p>
        </w:tc>
      </w:tr>
      <w:tr w14:paraId="6796F3DA">
        <w:trPr>
          <w:cantSplit/>
          <w:jc w:val="center"/>
        </w:trPr>
        <w:tc>
          <w:tcPr>
            <w:tcW w:w="2088" w:type="dxa"/>
            <w:vAlign w:val="center"/>
          </w:tcPr>
          <w:p w14:paraId="3F33D39A">
            <w:pPr>
              <w:keepNext w:val="0"/>
              <w:spacing w:after="40" w:line="300" w:lineRule="exact"/>
              <w:rPr>
                <w:color w:val="auto"/>
              </w:rPr>
            </w:pPr>
            <w:r>
              <w:rPr>
                <w:rFonts w:ascii="Noto Sans CJK SC" w:hAnsi="Noto Sans CJK SC" w:eastAsia="Noto Sans CJK SC" w:cs="Noto Sans CJK SC"/>
                <w:b w:val="0"/>
                <w:color w:val="auto"/>
                <w:sz w:val="21"/>
                <w:lang w:val="en-GB" w:eastAsia="zh-CN"/>
              </w:rPr>
              <w:t>银行地址</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Bank address</w:t>
            </w:r>
          </w:p>
        </w:tc>
        <w:tc>
          <w:tcPr>
            <w:tcW w:w="4032" w:type="dxa"/>
            <w:vAlign w:val="center"/>
          </w:tcPr>
          <w:p w14:paraId="02B7ADDE">
            <w:pPr>
              <w:keepNext w:val="0"/>
              <w:spacing w:after="40" w:line="300" w:lineRule="exact"/>
              <w:rPr>
                <w:color w:val="auto"/>
              </w:rPr>
            </w:pPr>
            <w:r>
              <w:rPr>
                <w:rFonts w:ascii="DejaVu Sans" w:hAnsi="DejaVu Sans" w:eastAsia="Noto Sans CJK SC" w:cs="DejaVu Sans"/>
                <w:b w:val="0"/>
                <w:color w:val="auto"/>
                <w:sz w:val="21"/>
                <w:lang w:val="en-GB" w:eastAsia="zh-CN"/>
              </w:rPr>
              <w:t>38 DATONG ROAD HAIKOU CITY HAINAN PROVINCE CHINA</w:t>
            </w:r>
          </w:p>
        </w:tc>
        <w:tc>
          <w:tcPr>
            <w:tcW w:w="3874" w:type="dxa"/>
            <w:vAlign w:val="center"/>
          </w:tcPr>
          <w:p w14:paraId="68F038C6">
            <w:pPr>
              <w:keepNext w:val="0"/>
              <w:spacing w:after="40" w:line="300" w:lineRule="exact"/>
              <w:rPr>
                <w:color w:val="auto"/>
              </w:rPr>
            </w:pPr>
            <w:r>
              <w:rPr>
                <w:rFonts w:ascii="Noto Sans CJK SC" w:hAnsi="Noto Sans CJK SC" w:eastAsia="Noto Sans CJK SC" w:cs="Noto Sans CJK SC"/>
                <w:b w:val="0"/>
                <w:color w:val="auto"/>
                <w:sz w:val="21"/>
                <w:lang w:val="en-GB" w:eastAsia="zh-CN"/>
              </w:rPr>
              <w:t>境内转账按上述开户行及账号办理</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For domestic transfer use the bank and account above</w:t>
            </w:r>
          </w:p>
        </w:tc>
      </w:tr>
      <w:tr w14:paraId="540F7737">
        <w:trPr>
          <w:cantSplit/>
          <w:jc w:val="center"/>
        </w:trPr>
        <w:tc>
          <w:tcPr>
            <w:tcW w:w="2088" w:type="dxa"/>
            <w:vAlign w:val="center"/>
          </w:tcPr>
          <w:p w14:paraId="725B29B4">
            <w:pPr>
              <w:keepNext w:val="0"/>
              <w:spacing w:after="40" w:line="300" w:lineRule="exact"/>
              <w:rPr>
                <w:color w:val="auto"/>
              </w:rPr>
            </w:pPr>
            <w:r>
              <w:rPr>
                <w:rFonts w:ascii="DejaVu Sans" w:hAnsi="DejaVu Sans" w:eastAsia="Noto Sans CJK SC" w:cs="DejaVu Sans"/>
                <w:b w:val="0"/>
                <w:color w:val="auto"/>
                <w:sz w:val="21"/>
                <w:lang w:val="en-GB" w:eastAsia="zh-CN"/>
              </w:rPr>
              <w:t>SWIFT BIC</w:t>
            </w:r>
          </w:p>
        </w:tc>
        <w:tc>
          <w:tcPr>
            <w:tcW w:w="4032" w:type="dxa"/>
            <w:vAlign w:val="center"/>
          </w:tcPr>
          <w:p w14:paraId="2809D650">
            <w:pPr>
              <w:keepNext w:val="0"/>
              <w:spacing w:after="40" w:line="300" w:lineRule="exact"/>
              <w:rPr>
                <w:color w:val="auto"/>
              </w:rPr>
            </w:pPr>
            <w:r>
              <w:rPr>
                <w:rFonts w:ascii="DejaVu Sans" w:hAnsi="DejaVu Sans" w:eastAsia="Noto Sans CJK SC" w:cs="DejaVu Sans"/>
                <w:b w:val="0"/>
                <w:color w:val="auto"/>
                <w:sz w:val="21"/>
                <w:lang w:val="en-GB" w:eastAsia="zh-CN"/>
              </w:rPr>
              <w:t>BKCHCNBJ740</w:t>
            </w:r>
          </w:p>
        </w:tc>
        <w:tc>
          <w:tcPr>
            <w:tcW w:w="3874" w:type="dxa"/>
            <w:vAlign w:val="center"/>
          </w:tcPr>
          <w:p w14:paraId="1108BE97">
            <w:pPr>
              <w:keepNext w:val="0"/>
              <w:spacing w:after="40" w:line="300" w:lineRule="exact"/>
              <w:rPr>
                <w:color w:val="auto"/>
              </w:rPr>
            </w:pPr>
            <w:r>
              <w:rPr>
                <w:rFonts w:ascii="Noto Sans CJK SC" w:hAnsi="Noto Sans CJK SC" w:eastAsia="Noto Sans CJK SC" w:cs="Noto Sans CJK SC"/>
                <w:b w:val="0"/>
                <w:color w:val="auto"/>
                <w:sz w:val="21"/>
                <w:lang w:val="en-GB" w:eastAsia="zh-CN"/>
              </w:rPr>
              <w:t>境内人民币转账不适用</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Not applicable to domestic RMB transfer</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人民币账户仅接受境内转账；境外汇款请使用美元账户并以美元支付。</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The RMB account accepts domestic transfers only; payments from outside mainland China must be made in USD to the USD account.</w:t>
            </w:r>
          </w:p>
          <w:p w14:paraId="64EA7C92">
            <w:pPr>
              <w:keepNext w:val="0"/>
              <w:spacing w:after="40" w:line="300" w:lineRule="exact"/>
              <w:rPr>
                <w:color w:val="auto"/>
              </w:rPr>
            </w:pPr>
          </w:p>
        </w:tc>
      </w:tr>
    </w:tbl>
    <w:p w14:paraId="08C7E275">
      <w:pPr>
        <w:keepNext w:val="0"/>
        <w:rPr>
          <w:color w:val="auto"/>
        </w:rPr>
      </w:pPr>
      <w:r>
        <w:rPr>
          <w:rFonts w:ascii="Noto Sans CJK SC" w:hAnsi="Noto Sans CJK SC" w:eastAsia="Noto Sans CJK SC" w:cs="Noto Sans CJK SC"/>
          <w:b w:val="0"/>
          <w:color w:val="auto"/>
          <w:lang w:val="en-GB" w:eastAsia="zh-CN"/>
        </w:rPr>
        <w:t>收款方地址同第1.1条  Beneficiary address as in clause 1.1</w:t>
      </w:r>
    </w:p>
    <w:p w14:paraId="6AC923DB">
      <w:pPr>
        <w:keepNext w:val="0"/>
        <w:rPr>
          <w:color w:val="auto"/>
        </w:rPr>
      </w:pPr>
      <w:r>
        <w:rPr>
          <w:rFonts w:ascii="Noto Sans CJK SC" w:hAnsi="Noto Sans CJK SC" w:eastAsia="Noto Sans CJK SC" w:cs="Noto Sans CJK SC"/>
          <w:b w:val="0"/>
          <w:color w:val="auto"/>
          <w:lang w:val="en-GB" w:eastAsia="zh-CN"/>
        </w:rPr>
        <w:t>合同退款及账户核验邮箱  Contract refunds and account verification</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admissions@jadebanyansociety.com</w:t>
      </w:r>
    </w:p>
    <w:p w14:paraId="1C89AC3D">
      <w:pPr>
        <w:pStyle w:val="3"/>
        <w:keepNext/>
        <w:pageBreakBefore/>
        <w:rPr>
          <w:color w:val="auto"/>
        </w:rPr>
      </w:pPr>
      <w:r>
        <w:rPr>
          <w:rFonts w:ascii="Noto Sans CJK SC" w:hAnsi="Noto Sans CJK SC" w:eastAsia="Noto Sans CJK SC" w:cs="Noto Sans CJK SC"/>
          <w:b w:val="0"/>
          <w:color w:val="auto"/>
          <w:lang w:val="en-GB" w:eastAsia="zh-CN"/>
        </w:rPr>
        <w:t>附表 C 文件版本与交付记录</w:t>
      </w:r>
    </w:p>
    <w:p w14:paraId="0D6D81C8">
      <w:pPr>
        <w:pStyle w:val="4"/>
        <w:keepNext/>
        <w:spacing w:before="0" w:after="180"/>
        <w:rPr>
          <w:color w:val="auto"/>
        </w:rPr>
      </w:pPr>
      <w:r>
        <w:rPr>
          <w:rFonts w:ascii="DejaVu Sans" w:hAnsi="DejaVu Sans" w:eastAsia="Noto Sans CJK SC" w:cs="DejaVu Sans"/>
          <w:b w:val="0"/>
          <w:color w:val="auto"/>
          <w:lang w:val="en-GB" w:eastAsia="zh-CN"/>
        </w:rPr>
        <w:t>Schedule C Document versions and delivery</w:t>
      </w:r>
    </w:p>
    <w:p w14:paraId="6C75F778">
      <w:pPr>
        <w:keepNext/>
        <w:spacing w:after="60"/>
        <w:rPr>
          <w:color w:val="auto"/>
        </w:rPr>
      </w:pPr>
      <w:r>
        <w:rPr>
          <w:rFonts w:ascii="Noto Sans CJK SC" w:hAnsi="Noto Sans CJK SC" w:eastAsia="Noto Sans CJK SC" w:cs="Noto Sans CJK SC"/>
          <w:b w:val="0"/>
          <w:color w:val="auto"/>
          <w:lang w:val="en-GB" w:eastAsia="zh-CN"/>
        </w:rPr>
        <w:t>以下九份中英文文件为2026年10月10日发布版。甲方应当按相应阶段交付可保存的完整文本，并记录日期及编号。列入清单不表示已经交付、同意或者签署；本协议不因此变更已经作出的接受记录。</w:t>
      </w:r>
    </w:p>
    <w:p w14:paraId="12038728">
      <w:pPr>
        <w:keepNext w:val="0"/>
        <w:rPr>
          <w:color w:val="auto"/>
        </w:rPr>
      </w:pPr>
      <w:r>
        <w:rPr>
          <w:rFonts w:ascii="DejaVu Sans" w:hAnsi="DejaVu Sans" w:eastAsia="Noto Sans CJK SC" w:cs="DejaVu Sans"/>
          <w:b w:val="0"/>
          <w:color w:val="auto"/>
          <w:lang w:val="en-GB" w:eastAsia="zh-CN"/>
        </w:rPr>
        <w:t>These nine bilingual documents are the 10 October 2026 release. Supply complete retainable texts at the applicable stage and record delivery dates and references. Listing does not establish delivery, consent or signing; this template does not automatically change existing acceptance records.</w:t>
      </w:r>
    </w:p>
    <w:tbl>
      <w:tblPr>
        <w:tblStyle w:val="32"/>
        <w:tblW w:w="10199" w:type="dxa"/>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100" w:type="dxa"/>
          <w:left w:w="115" w:type="dxa"/>
          <w:bottom w:w="100" w:type="dxa"/>
          <w:right w:w="115" w:type="dxa"/>
        </w:tblCellMar>
      </w:tblPr>
      <w:tblGrid>
        <w:gridCol w:w="3592"/>
        <w:gridCol w:w="1789"/>
        <w:gridCol w:w="3015"/>
        <w:gridCol w:w="1803"/>
      </w:tblGrid>
      <w:tr w14:paraId="1FBD68F3">
        <w:trPr>
          <w:cantSplit/>
          <w:tblHeader/>
          <w:jc w:val="center"/>
        </w:trPr>
        <w:tc>
          <w:tcPr>
            <w:tcW w:w="3592" w:type="dxa"/>
            <w:shd w:val="clear" w:color="auto" w:fill="E7EBE8"/>
            <w:vAlign w:val="center"/>
          </w:tcPr>
          <w:p w14:paraId="2DE1567B">
            <w:pPr>
              <w:keepNext w:val="0"/>
              <w:spacing w:after="40" w:line="300" w:lineRule="exact"/>
              <w:rPr>
                <w:color w:val="auto"/>
              </w:rPr>
            </w:pPr>
            <w:r>
              <w:rPr>
                <w:rFonts w:ascii="Noto Sans CJK SC" w:hAnsi="Noto Sans CJK SC" w:eastAsia="Noto Sans CJK SC" w:cs="Noto Sans CJK SC"/>
                <w:b/>
                <w:color w:val="auto"/>
                <w:sz w:val="21"/>
                <w:lang w:val="en-GB" w:eastAsia="zh-CN"/>
              </w:rPr>
              <w:t>文件</w:t>
            </w:r>
            <w:r>
              <w:rPr>
                <w:rFonts w:ascii="Noto Sans CJK SC" w:hAnsi="Noto Sans CJK SC" w:eastAsia="Noto Sans CJK SC" w:cs="Noto Sans CJK SC"/>
                <w:b/>
                <w:color w:val="auto"/>
                <w:sz w:val="21"/>
                <w:lang w:val="en-GB" w:eastAsia="zh-CN"/>
              </w:rPr>
              <w:br w:type="textWrapping"/>
            </w:r>
            <w:r>
              <w:rPr>
                <w:rFonts w:ascii="Noto Sans CJK SC" w:hAnsi="Noto Sans CJK SC" w:eastAsia="Noto Sans CJK SC" w:cs="Noto Sans CJK SC"/>
                <w:b/>
                <w:color w:val="auto"/>
                <w:sz w:val="21"/>
                <w:lang w:val="en-GB" w:eastAsia="zh-CN"/>
              </w:rPr>
              <w:t>Document</w:t>
            </w:r>
          </w:p>
        </w:tc>
        <w:tc>
          <w:tcPr>
            <w:tcW w:w="1789" w:type="dxa"/>
            <w:shd w:val="clear" w:color="auto" w:fill="E7EBE8"/>
            <w:vAlign w:val="center"/>
          </w:tcPr>
          <w:p w14:paraId="0B59461F">
            <w:pPr>
              <w:keepNext w:val="0"/>
              <w:spacing w:after="40" w:line="300" w:lineRule="exact"/>
              <w:rPr>
                <w:color w:val="auto"/>
              </w:rPr>
            </w:pPr>
            <w:r>
              <w:rPr>
                <w:rFonts w:ascii="Noto Sans CJK SC" w:hAnsi="Noto Sans CJK SC" w:eastAsia="Noto Sans CJK SC" w:cs="Noto Sans CJK SC"/>
                <w:b/>
                <w:color w:val="auto"/>
                <w:sz w:val="21"/>
                <w:lang w:val="en-GB" w:eastAsia="zh-CN"/>
              </w:rPr>
              <w:t>版本</w:t>
            </w:r>
            <w:r>
              <w:rPr>
                <w:rFonts w:ascii="Noto Sans CJK SC" w:hAnsi="Noto Sans CJK SC" w:eastAsia="Noto Sans CJK SC" w:cs="Noto Sans CJK SC"/>
                <w:b/>
                <w:color w:val="auto"/>
                <w:sz w:val="21"/>
                <w:lang w:val="en-GB" w:eastAsia="zh-CN"/>
              </w:rPr>
              <w:br w:type="textWrapping"/>
            </w:r>
            <w:r>
              <w:rPr>
                <w:rFonts w:ascii="Noto Sans CJK SC" w:hAnsi="Noto Sans CJK SC" w:eastAsia="Noto Sans CJK SC" w:cs="Noto Sans CJK SC"/>
                <w:b/>
                <w:color w:val="auto"/>
                <w:sz w:val="21"/>
                <w:lang w:val="en-GB" w:eastAsia="zh-CN"/>
              </w:rPr>
              <w:t>Version</w:t>
            </w:r>
          </w:p>
        </w:tc>
        <w:tc>
          <w:tcPr>
            <w:tcW w:w="3015" w:type="dxa"/>
            <w:shd w:val="clear" w:color="auto" w:fill="E7EBE8"/>
            <w:vAlign w:val="center"/>
          </w:tcPr>
          <w:p w14:paraId="33B849CD">
            <w:pPr>
              <w:keepNext w:val="0"/>
              <w:spacing w:after="40" w:line="300" w:lineRule="exact"/>
              <w:rPr>
                <w:rFonts w:ascii="Noto Sans CJK SC" w:hAnsi="Noto Sans CJK SC" w:eastAsia="Noto Sans CJK SC" w:cs="Noto Sans CJK SC"/>
                <w:b/>
                <w:color w:val="auto"/>
                <w:sz w:val="21"/>
                <w:lang w:val="en-GB" w:eastAsia="zh-CN"/>
              </w:rPr>
            </w:pPr>
            <w:r>
              <w:rPr>
                <w:rFonts w:ascii="Noto Sans CJK SC" w:hAnsi="Noto Sans CJK SC" w:eastAsia="Noto Sans CJK SC" w:cs="Noto Sans CJK SC"/>
                <w:b/>
                <w:color w:val="auto"/>
                <w:sz w:val="21"/>
                <w:lang w:val="en-GB" w:eastAsia="zh-CN"/>
              </w:rPr>
              <w:t>办理性质</w:t>
            </w:r>
            <w:r>
              <w:rPr>
                <w:rFonts w:ascii="Noto Sans CJK SC" w:hAnsi="Noto Sans CJK SC" w:eastAsia="Noto Sans CJK SC" w:cs="Noto Sans CJK SC"/>
                <w:b/>
                <w:color w:val="auto"/>
                <w:sz w:val="21"/>
                <w:lang w:val="en-GB" w:eastAsia="zh-CN"/>
              </w:rPr>
              <w:br w:type="textWrapping"/>
            </w:r>
            <w:r>
              <w:rPr>
                <w:rFonts w:ascii="Noto Sans CJK SC" w:hAnsi="Noto Sans CJK SC" w:eastAsia="Noto Sans CJK SC" w:cs="Noto Sans CJK SC"/>
                <w:b/>
                <w:color w:val="auto"/>
                <w:sz w:val="21"/>
                <w:lang w:val="en-GB" w:eastAsia="zh-CN"/>
              </w:rPr>
              <w:t>Nature of completion</w:t>
            </w:r>
          </w:p>
        </w:tc>
        <w:tc>
          <w:tcPr>
            <w:tcW w:w="1803" w:type="dxa"/>
          </w:tcPr>
          <w:p w14:paraId="47DAA1D5">
            <w:pPr>
              <w:keepNext w:val="0"/>
              <w:spacing w:after="40" w:line="300" w:lineRule="exact"/>
              <w:rPr>
                <w:rFonts w:ascii="Noto Sans CJK SC" w:hAnsi="Noto Sans CJK SC" w:eastAsia="Noto Sans CJK SC" w:cs="Noto Sans CJK SC"/>
                <w:b/>
                <w:color w:val="auto"/>
                <w:sz w:val="21"/>
                <w:lang w:val="en-GB" w:eastAsia="zh-CN"/>
              </w:rPr>
            </w:pPr>
            <w:r>
              <w:rPr>
                <w:rFonts w:ascii="Noto Sans CJK SC" w:hAnsi="Noto Sans CJK SC" w:eastAsia="Noto Sans CJK SC" w:cs="Noto Sans CJK SC"/>
                <w:b/>
                <w:color w:val="auto"/>
                <w:sz w:val="21"/>
                <w:lang w:val="en-GB" w:eastAsia="zh-CN"/>
              </w:rPr>
              <w:t>交付日期 / Supply date</w:t>
            </w:r>
          </w:p>
        </w:tc>
      </w:tr>
      <w:tr w14:paraId="45337919">
        <w:trPr>
          <w:cantSplit/>
          <w:jc w:val="center"/>
        </w:trPr>
        <w:tc>
          <w:tcPr>
            <w:tcW w:w="3592" w:type="dxa"/>
            <w:vAlign w:val="center"/>
          </w:tcPr>
          <w:p w14:paraId="656A783D">
            <w:pPr>
              <w:keepNext w:val="0"/>
              <w:spacing w:after="40" w:line="300" w:lineRule="exact"/>
              <w:rPr>
                <w:color w:val="auto"/>
              </w:rPr>
            </w:pPr>
            <w:r>
              <w:rPr>
                <w:rFonts w:ascii="Noto Sans CJK SC" w:hAnsi="Noto Sans CJK SC" w:eastAsia="Noto Sans CJK SC" w:cs="Noto Sans CJK SC"/>
                <w:b w:val="0"/>
                <w:color w:val="auto"/>
                <w:sz w:val="21"/>
                <w:lang w:val="en-GB" w:eastAsia="zh-CN"/>
              </w:rPr>
              <w:t>项目参与条款</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Participation Terms</w:t>
            </w:r>
          </w:p>
        </w:tc>
        <w:tc>
          <w:tcPr>
            <w:tcW w:w="1789" w:type="dxa"/>
            <w:vAlign w:val="center"/>
          </w:tcPr>
          <w:p w14:paraId="6BBB37D1">
            <w:pPr>
              <w:keepNext w:val="0"/>
              <w:spacing w:after="40" w:line="300" w:lineRule="exact"/>
              <w:rPr>
                <w:color w:val="auto"/>
              </w:rPr>
            </w:pPr>
            <w:r>
              <w:rPr>
                <w:rFonts w:ascii="DejaVu Sans" w:hAnsi="DejaVu Sans" w:eastAsia="Noto Sans CJK SC" w:cs="DejaVu Sans"/>
                <w:b w:val="0"/>
                <w:color w:val="auto"/>
                <w:sz w:val="21"/>
                <w:lang w:val="en-GB" w:eastAsia="zh-CN"/>
              </w:rPr>
              <w:t>2026-10-10</w:t>
            </w:r>
          </w:p>
        </w:tc>
        <w:tc>
          <w:tcPr>
            <w:tcW w:w="3015" w:type="dxa"/>
            <w:vAlign w:val="center"/>
          </w:tcPr>
          <w:p w14:paraId="411DB043">
            <w:pPr>
              <w:keepNext w:val="0"/>
              <w:spacing w:after="40" w:line="300" w:lineRule="exact"/>
              <w:rPr>
                <w:color w:val="auto"/>
              </w:rPr>
            </w:pPr>
            <w:r>
              <w:rPr>
                <w:rFonts w:ascii="Noto Sans CJK SC" w:hAnsi="Noto Sans CJK SC" w:eastAsia="Noto Sans CJK SC" w:cs="Noto Sans CJK SC"/>
                <w:b w:val="0"/>
                <w:color w:val="auto"/>
                <w:sz w:val="21"/>
                <w:lang w:val="en-GB" w:eastAsia="zh-CN"/>
              </w:rPr>
              <w:t>参与规则</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Participation terms</w:t>
            </w:r>
          </w:p>
        </w:tc>
        <w:tc>
          <w:tcPr>
            <w:tcW w:w="1803" w:type="dxa"/>
          </w:tcPr>
          <w:p w14:paraId="510ADA2F">
            <w:pPr>
              <w:rPr>
                <w:color w:val="auto"/>
              </w:rPr>
            </w:pPr>
          </w:p>
        </w:tc>
      </w:tr>
      <w:tr w14:paraId="2F6B471B">
        <w:trPr>
          <w:cantSplit/>
          <w:jc w:val="center"/>
        </w:trPr>
        <w:tc>
          <w:tcPr>
            <w:tcW w:w="3592" w:type="dxa"/>
            <w:vAlign w:val="center"/>
          </w:tcPr>
          <w:p w14:paraId="743FBD0D">
            <w:pPr>
              <w:keepNext w:val="0"/>
              <w:spacing w:after="40" w:line="300" w:lineRule="exact"/>
              <w:rPr>
                <w:color w:val="auto"/>
              </w:rPr>
            </w:pPr>
            <w:r>
              <w:rPr>
                <w:rFonts w:ascii="Noto Sans CJK SC" w:hAnsi="Noto Sans CJK SC" w:eastAsia="Noto Sans CJK SC" w:cs="Noto Sans CJK SC"/>
                <w:b w:val="0"/>
                <w:color w:val="auto"/>
                <w:sz w:val="21"/>
                <w:lang w:val="en-GB" w:eastAsia="zh-CN"/>
              </w:rPr>
              <w:t>共同生活守则</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Community Code</w:t>
            </w:r>
          </w:p>
        </w:tc>
        <w:tc>
          <w:tcPr>
            <w:tcW w:w="1789" w:type="dxa"/>
            <w:vAlign w:val="center"/>
          </w:tcPr>
          <w:p w14:paraId="60AD6933">
            <w:pPr>
              <w:keepNext w:val="0"/>
              <w:spacing w:after="40" w:line="300" w:lineRule="exact"/>
              <w:rPr>
                <w:color w:val="auto"/>
              </w:rPr>
            </w:pPr>
            <w:r>
              <w:rPr>
                <w:rFonts w:ascii="DejaVu Sans" w:hAnsi="DejaVu Sans" w:eastAsia="Noto Sans CJK SC" w:cs="DejaVu Sans"/>
                <w:b w:val="0"/>
                <w:color w:val="auto"/>
                <w:sz w:val="21"/>
                <w:lang w:val="en-GB" w:eastAsia="zh-CN"/>
              </w:rPr>
              <w:t>2026-10-10</w:t>
            </w:r>
          </w:p>
        </w:tc>
        <w:tc>
          <w:tcPr>
            <w:tcW w:w="3015" w:type="dxa"/>
            <w:vAlign w:val="center"/>
          </w:tcPr>
          <w:p w14:paraId="3DCFEB4E">
            <w:pPr>
              <w:keepNext w:val="0"/>
              <w:spacing w:after="40" w:line="300" w:lineRule="exact"/>
              <w:rPr>
                <w:color w:val="auto"/>
              </w:rPr>
            </w:pPr>
            <w:r>
              <w:rPr>
                <w:rFonts w:ascii="Noto Sans CJK SC" w:hAnsi="Noto Sans CJK SC" w:eastAsia="Noto Sans CJK SC" w:cs="Noto Sans CJK SC"/>
                <w:b w:val="0"/>
                <w:color w:val="auto"/>
                <w:sz w:val="21"/>
                <w:lang w:val="en-GB" w:eastAsia="zh-CN"/>
              </w:rPr>
              <w:t>行为规则</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Conduct rules</w:t>
            </w:r>
          </w:p>
        </w:tc>
        <w:tc>
          <w:tcPr>
            <w:tcW w:w="1803" w:type="dxa"/>
          </w:tcPr>
          <w:p w14:paraId="6867CC60">
            <w:pPr>
              <w:rPr>
                <w:color w:val="auto"/>
              </w:rPr>
            </w:pPr>
          </w:p>
        </w:tc>
      </w:tr>
      <w:tr w14:paraId="0F9BF5D4">
        <w:trPr>
          <w:cantSplit/>
          <w:jc w:val="center"/>
        </w:trPr>
        <w:tc>
          <w:tcPr>
            <w:tcW w:w="3592" w:type="dxa"/>
            <w:vAlign w:val="center"/>
          </w:tcPr>
          <w:p w14:paraId="29644B48">
            <w:pPr>
              <w:keepNext w:val="0"/>
              <w:spacing w:after="40" w:line="300" w:lineRule="exact"/>
              <w:rPr>
                <w:color w:val="auto"/>
              </w:rPr>
            </w:pPr>
            <w:r>
              <w:rPr>
                <w:rFonts w:ascii="Noto Sans CJK SC" w:hAnsi="Noto Sans CJK SC" w:eastAsia="Noto Sans CJK SC" w:cs="Noto Sans CJK SC"/>
                <w:b w:val="0"/>
                <w:color w:val="auto"/>
                <w:sz w:val="21"/>
                <w:lang w:val="en-GB" w:eastAsia="zh-CN"/>
              </w:rPr>
              <w:t>活动参与与风险知情说明</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Activity Participation and Risk Acknowledgement</w:t>
            </w:r>
          </w:p>
        </w:tc>
        <w:tc>
          <w:tcPr>
            <w:tcW w:w="1789" w:type="dxa"/>
            <w:vAlign w:val="center"/>
          </w:tcPr>
          <w:p w14:paraId="5C9BEDD3">
            <w:pPr>
              <w:keepNext w:val="0"/>
              <w:spacing w:after="40" w:line="300" w:lineRule="exact"/>
              <w:rPr>
                <w:color w:val="auto"/>
              </w:rPr>
            </w:pPr>
            <w:r>
              <w:rPr>
                <w:rFonts w:ascii="DejaVu Sans" w:hAnsi="DejaVu Sans" w:eastAsia="Noto Sans CJK SC" w:cs="DejaVu Sans"/>
                <w:b w:val="0"/>
                <w:color w:val="auto"/>
                <w:sz w:val="21"/>
                <w:lang w:val="en-GB" w:eastAsia="zh-CN"/>
              </w:rPr>
              <w:t>2026-10-10</w:t>
            </w:r>
          </w:p>
        </w:tc>
        <w:tc>
          <w:tcPr>
            <w:tcW w:w="3015" w:type="dxa"/>
            <w:vAlign w:val="center"/>
          </w:tcPr>
          <w:p w14:paraId="169A82DE">
            <w:pPr>
              <w:keepNext w:val="0"/>
              <w:spacing w:after="40" w:line="300" w:lineRule="exact"/>
              <w:rPr>
                <w:color w:val="auto"/>
              </w:rPr>
            </w:pPr>
            <w:r>
              <w:rPr>
                <w:rFonts w:ascii="Noto Sans CJK SC" w:hAnsi="Noto Sans CJK SC" w:eastAsia="Noto Sans CJK SC" w:cs="Noto Sans CJK SC"/>
                <w:b w:val="0"/>
                <w:color w:val="auto"/>
                <w:sz w:val="21"/>
                <w:lang w:val="en-GB" w:eastAsia="zh-CN"/>
              </w:rPr>
              <w:t>风险知情及完整保险要求；保险另行确认</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Risk notice and full insurance requirements with separate insurance acknowledgement</w:t>
            </w:r>
          </w:p>
        </w:tc>
        <w:tc>
          <w:tcPr>
            <w:tcW w:w="1803" w:type="dxa"/>
          </w:tcPr>
          <w:p w14:paraId="15F32DE7">
            <w:pPr>
              <w:rPr>
                <w:color w:val="auto"/>
              </w:rPr>
            </w:pPr>
          </w:p>
        </w:tc>
      </w:tr>
      <w:tr w14:paraId="14C12018">
        <w:trPr>
          <w:cantSplit/>
          <w:jc w:val="center"/>
        </w:trPr>
        <w:tc>
          <w:tcPr>
            <w:tcW w:w="3592" w:type="dxa"/>
            <w:vAlign w:val="center"/>
          </w:tcPr>
          <w:p w14:paraId="6E26A758">
            <w:pPr>
              <w:keepNext w:val="0"/>
              <w:spacing w:after="40" w:line="300" w:lineRule="exact"/>
              <w:rPr>
                <w:color w:val="auto"/>
              </w:rPr>
            </w:pPr>
            <w:r>
              <w:rPr>
                <w:rFonts w:ascii="Noto Sans CJK SC" w:hAnsi="Noto Sans CJK SC" w:eastAsia="Noto Sans CJK SC" w:cs="Noto Sans CJK SC"/>
                <w:b w:val="0"/>
                <w:color w:val="auto"/>
                <w:sz w:val="21"/>
                <w:lang w:val="en-GB" w:eastAsia="zh-CN"/>
              </w:rPr>
              <w:t>隐私说明</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Privacy Notice</w:t>
            </w:r>
          </w:p>
        </w:tc>
        <w:tc>
          <w:tcPr>
            <w:tcW w:w="1789" w:type="dxa"/>
            <w:vAlign w:val="center"/>
          </w:tcPr>
          <w:p w14:paraId="2FA6D736">
            <w:pPr>
              <w:keepNext w:val="0"/>
              <w:spacing w:after="40" w:line="300" w:lineRule="exact"/>
              <w:rPr>
                <w:color w:val="auto"/>
              </w:rPr>
            </w:pPr>
            <w:r>
              <w:rPr>
                <w:rFonts w:ascii="DejaVu Sans" w:hAnsi="DejaVu Sans" w:eastAsia="Noto Sans CJK SC" w:cs="DejaVu Sans"/>
                <w:b w:val="0"/>
                <w:color w:val="auto"/>
                <w:sz w:val="21"/>
                <w:lang w:val="en-GB" w:eastAsia="zh-CN"/>
              </w:rPr>
              <w:t>2026-10-10</w:t>
            </w:r>
          </w:p>
        </w:tc>
        <w:tc>
          <w:tcPr>
            <w:tcW w:w="3015" w:type="dxa"/>
            <w:vAlign w:val="center"/>
          </w:tcPr>
          <w:p w14:paraId="10A47BB0">
            <w:pPr>
              <w:keepNext w:val="0"/>
              <w:spacing w:after="40" w:line="300" w:lineRule="exact"/>
              <w:rPr>
                <w:color w:val="auto"/>
              </w:rPr>
            </w:pPr>
            <w:r>
              <w:rPr>
                <w:rFonts w:ascii="Noto Sans CJK SC" w:hAnsi="Noto Sans CJK SC" w:eastAsia="Noto Sans CJK SC" w:cs="Noto Sans CJK SC"/>
                <w:b w:val="0"/>
                <w:color w:val="auto"/>
                <w:sz w:val="21"/>
                <w:lang w:val="en-GB" w:eastAsia="zh-CN"/>
              </w:rPr>
              <w:t>处理前告知</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Notice before processing</w:t>
            </w:r>
          </w:p>
        </w:tc>
        <w:tc>
          <w:tcPr>
            <w:tcW w:w="1803" w:type="dxa"/>
          </w:tcPr>
          <w:p w14:paraId="0EECF6FF">
            <w:pPr>
              <w:rPr>
                <w:color w:val="auto"/>
              </w:rPr>
            </w:pPr>
          </w:p>
        </w:tc>
      </w:tr>
      <w:tr w14:paraId="32A2E1FD">
        <w:trPr>
          <w:cantSplit/>
          <w:jc w:val="center"/>
        </w:trPr>
        <w:tc>
          <w:tcPr>
            <w:tcW w:w="3592" w:type="dxa"/>
            <w:vAlign w:val="center"/>
          </w:tcPr>
          <w:p w14:paraId="5D46FAFF">
            <w:pPr>
              <w:keepNext w:val="0"/>
              <w:spacing w:after="40" w:line="300" w:lineRule="exact"/>
              <w:rPr>
                <w:color w:val="auto"/>
              </w:rPr>
            </w:pPr>
            <w:r>
              <w:rPr>
                <w:rFonts w:ascii="Noto Sans CJK SC" w:hAnsi="Noto Sans CJK SC" w:eastAsia="Noto Sans CJK SC" w:cs="Noto Sans CJK SC"/>
                <w:b w:val="0"/>
                <w:color w:val="auto"/>
                <w:sz w:val="21"/>
                <w:lang w:val="en-GB" w:eastAsia="zh-CN"/>
              </w:rPr>
              <w:t>GPS SOS 与定位信息</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GPS SOS and Location Data</w:t>
            </w:r>
          </w:p>
        </w:tc>
        <w:tc>
          <w:tcPr>
            <w:tcW w:w="1789" w:type="dxa"/>
            <w:vAlign w:val="center"/>
          </w:tcPr>
          <w:p w14:paraId="61792B00">
            <w:pPr>
              <w:keepNext w:val="0"/>
              <w:spacing w:after="40" w:line="300" w:lineRule="exact"/>
              <w:rPr>
                <w:color w:val="auto"/>
              </w:rPr>
            </w:pPr>
            <w:r>
              <w:rPr>
                <w:rFonts w:ascii="DejaVu Sans" w:hAnsi="DejaVu Sans" w:eastAsia="Noto Sans CJK SC" w:cs="DejaVu Sans"/>
                <w:b w:val="0"/>
                <w:color w:val="auto"/>
                <w:sz w:val="21"/>
                <w:lang w:val="en-GB" w:eastAsia="zh-CN"/>
              </w:rPr>
              <w:t>2026-10-10</w:t>
            </w:r>
          </w:p>
        </w:tc>
        <w:tc>
          <w:tcPr>
            <w:tcW w:w="3015" w:type="dxa"/>
            <w:vAlign w:val="center"/>
          </w:tcPr>
          <w:p w14:paraId="0D702583">
            <w:pPr>
              <w:keepNext w:val="0"/>
              <w:spacing w:after="40" w:line="300" w:lineRule="exact"/>
              <w:rPr>
                <w:color w:val="auto"/>
              </w:rPr>
            </w:pPr>
            <w:r>
              <w:rPr>
                <w:rFonts w:ascii="Noto Sans CJK SC" w:hAnsi="Noto Sans CJK SC" w:eastAsia="Noto Sans CJK SC" w:cs="Noto Sans CJK SC"/>
                <w:b w:val="0"/>
                <w:color w:val="auto"/>
                <w:sz w:val="21"/>
                <w:lang w:val="en-GB" w:eastAsia="zh-CN"/>
              </w:rPr>
              <w:t>定位前告知及依法单独同意</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Notice and legally required separate consent before location processing</w:t>
            </w:r>
          </w:p>
        </w:tc>
        <w:tc>
          <w:tcPr>
            <w:tcW w:w="1803" w:type="dxa"/>
          </w:tcPr>
          <w:p w14:paraId="638ED06C">
            <w:pPr>
              <w:rPr>
                <w:color w:val="auto"/>
              </w:rPr>
            </w:pPr>
          </w:p>
        </w:tc>
      </w:tr>
      <w:tr w14:paraId="13ED5D05">
        <w:trPr>
          <w:cantSplit/>
          <w:jc w:val="center"/>
        </w:trPr>
        <w:tc>
          <w:tcPr>
            <w:tcW w:w="3592" w:type="dxa"/>
            <w:vAlign w:val="center"/>
          </w:tcPr>
          <w:p w14:paraId="2CBBA991">
            <w:pPr>
              <w:keepNext w:val="0"/>
              <w:spacing w:after="40" w:line="300" w:lineRule="exact"/>
              <w:rPr>
                <w:color w:val="auto"/>
              </w:rPr>
            </w:pPr>
            <w:r>
              <w:rPr>
                <w:rFonts w:ascii="Noto Sans CJK SC" w:hAnsi="Noto Sans CJK SC" w:eastAsia="Noto Sans CJK SC" w:cs="Noto Sans CJK SC"/>
                <w:b w:val="0"/>
                <w:color w:val="auto"/>
                <w:sz w:val="21"/>
                <w:lang w:val="en-GB" w:eastAsia="zh-CN"/>
              </w:rPr>
              <w:t>项目摄影授权</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Programme Photography Consent</w:t>
            </w:r>
          </w:p>
        </w:tc>
        <w:tc>
          <w:tcPr>
            <w:tcW w:w="1789" w:type="dxa"/>
            <w:vAlign w:val="center"/>
          </w:tcPr>
          <w:p w14:paraId="28D69C35">
            <w:pPr>
              <w:keepNext w:val="0"/>
              <w:spacing w:after="40" w:line="300" w:lineRule="exact"/>
              <w:rPr>
                <w:color w:val="auto"/>
              </w:rPr>
            </w:pPr>
            <w:r>
              <w:rPr>
                <w:rFonts w:ascii="DejaVu Sans" w:hAnsi="DejaVu Sans" w:eastAsia="Noto Sans CJK SC" w:cs="DejaVu Sans"/>
                <w:b w:val="0"/>
                <w:color w:val="auto"/>
                <w:sz w:val="21"/>
                <w:lang w:val="en-GB" w:eastAsia="zh-CN"/>
              </w:rPr>
              <w:t>2026-10-10</w:t>
            </w:r>
          </w:p>
        </w:tc>
        <w:tc>
          <w:tcPr>
            <w:tcW w:w="3015" w:type="dxa"/>
            <w:vAlign w:val="center"/>
          </w:tcPr>
          <w:p w14:paraId="16821EFF">
            <w:pPr>
              <w:keepNext w:val="0"/>
              <w:spacing w:after="40" w:line="300" w:lineRule="exact"/>
              <w:rPr>
                <w:color w:val="auto"/>
              </w:rPr>
            </w:pPr>
            <w:r>
              <w:rPr>
                <w:rFonts w:ascii="Noto Sans CJK SC" w:hAnsi="Noto Sans CJK SC" w:eastAsia="Noto Sans CJK SC" w:cs="Noto Sans CJK SC"/>
                <w:b w:val="0"/>
                <w:color w:val="auto"/>
                <w:sz w:val="21"/>
                <w:lang w:val="en-GB" w:eastAsia="zh-CN"/>
              </w:rPr>
              <w:t>可同意或拒绝的独立选择</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Separate optional agree or decline choice</w:t>
            </w:r>
          </w:p>
        </w:tc>
        <w:tc>
          <w:tcPr>
            <w:tcW w:w="1803" w:type="dxa"/>
          </w:tcPr>
          <w:p w14:paraId="4A7C1FBC">
            <w:pPr>
              <w:rPr>
                <w:color w:val="auto"/>
              </w:rPr>
            </w:pPr>
          </w:p>
        </w:tc>
      </w:tr>
      <w:tr w14:paraId="75FA35A5">
        <w:trPr>
          <w:cantSplit/>
          <w:jc w:val="center"/>
        </w:trPr>
        <w:tc>
          <w:tcPr>
            <w:tcW w:w="3592" w:type="dxa"/>
            <w:vAlign w:val="center"/>
          </w:tcPr>
          <w:p w14:paraId="0C3593F2">
            <w:pPr>
              <w:keepNext w:val="0"/>
              <w:spacing w:after="40" w:line="300" w:lineRule="exact"/>
              <w:rPr>
                <w:color w:val="auto"/>
              </w:rPr>
            </w:pPr>
            <w:r>
              <w:rPr>
                <w:rFonts w:ascii="Noto Sans CJK SC" w:hAnsi="Noto Sans CJK SC" w:eastAsia="Noto Sans CJK SC" w:cs="Noto Sans CJK SC"/>
                <w:b w:val="0"/>
                <w:color w:val="auto"/>
                <w:sz w:val="21"/>
                <w:lang w:val="en-GB" w:eastAsia="zh-CN"/>
              </w:rPr>
              <w:t>宣传媒体授权</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Promotional Media Consent</w:t>
            </w:r>
          </w:p>
        </w:tc>
        <w:tc>
          <w:tcPr>
            <w:tcW w:w="1789" w:type="dxa"/>
            <w:vAlign w:val="center"/>
          </w:tcPr>
          <w:p w14:paraId="74D67C7C">
            <w:pPr>
              <w:keepNext w:val="0"/>
              <w:spacing w:after="40" w:line="300" w:lineRule="exact"/>
              <w:rPr>
                <w:color w:val="auto"/>
              </w:rPr>
            </w:pPr>
            <w:r>
              <w:rPr>
                <w:rFonts w:ascii="DejaVu Sans" w:hAnsi="DejaVu Sans" w:eastAsia="Noto Sans CJK SC" w:cs="DejaVu Sans"/>
                <w:b w:val="0"/>
                <w:color w:val="auto"/>
                <w:sz w:val="21"/>
                <w:lang w:val="en-GB" w:eastAsia="zh-CN"/>
              </w:rPr>
              <w:t>2026-10-10</w:t>
            </w:r>
          </w:p>
        </w:tc>
        <w:tc>
          <w:tcPr>
            <w:tcW w:w="3015" w:type="dxa"/>
            <w:vAlign w:val="center"/>
          </w:tcPr>
          <w:p w14:paraId="76DFC983">
            <w:pPr>
              <w:keepNext w:val="0"/>
              <w:spacing w:after="40" w:line="300" w:lineRule="exact"/>
              <w:rPr>
                <w:color w:val="auto"/>
              </w:rPr>
            </w:pPr>
            <w:r>
              <w:rPr>
                <w:rFonts w:ascii="Noto Sans CJK SC" w:hAnsi="Noto Sans CJK SC" w:eastAsia="Noto Sans CJK SC" w:cs="Noto Sans CJK SC"/>
                <w:b w:val="0"/>
                <w:color w:val="auto"/>
                <w:sz w:val="21"/>
                <w:lang w:val="en-GB" w:eastAsia="zh-CN"/>
              </w:rPr>
              <w:t>可同意或拒绝的独立选择</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Separate optional agree or decline choice</w:t>
            </w:r>
          </w:p>
        </w:tc>
        <w:tc>
          <w:tcPr>
            <w:tcW w:w="1803" w:type="dxa"/>
          </w:tcPr>
          <w:p w14:paraId="28417B54">
            <w:pPr>
              <w:rPr>
                <w:color w:val="auto"/>
              </w:rPr>
            </w:pPr>
          </w:p>
        </w:tc>
      </w:tr>
      <w:tr w14:paraId="53C094D0">
        <w:trPr>
          <w:cantSplit/>
          <w:jc w:val="center"/>
        </w:trPr>
        <w:tc>
          <w:tcPr>
            <w:tcW w:w="3592" w:type="dxa"/>
            <w:vAlign w:val="center"/>
          </w:tcPr>
          <w:p w14:paraId="3209D8EB">
            <w:pPr>
              <w:keepNext w:val="0"/>
              <w:spacing w:after="40" w:line="300" w:lineRule="exact"/>
              <w:rPr>
                <w:color w:val="auto"/>
              </w:rPr>
            </w:pPr>
            <w:r>
              <w:rPr>
                <w:rFonts w:ascii="Noto Sans CJK SC" w:hAnsi="Noto Sans CJK SC" w:eastAsia="Noto Sans CJK SC" w:cs="Noto Sans CJK SC"/>
                <w:b w:val="0"/>
                <w:color w:val="auto"/>
                <w:sz w:val="21"/>
                <w:lang w:val="en-GB" w:eastAsia="zh-CN"/>
              </w:rPr>
              <w:t>无手机政策</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Phone-Free Policy</w:t>
            </w:r>
          </w:p>
        </w:tc>
        <w:tc>
          <w:tcPr>
            <w:tcW w:w="1789" w:type="dxa"/>
            <w:vAlign w:val="center"/>
          </w:tcPr>
          <w:p w14:paraId="22D3F19B">
            <w:pPr>
              <w:keepNext w:val="0"/>
              <w:spacing w:after="40" w:line="300" w:lineRule="exact"/>
              <w:rPr>
                <w:color w:val="auto"/>
              </w:rPr>
            </w:pPr>
            <w:r>
              <w:rPr>
                <w:rFonts w:ascii="DejaVu Sans" w:hAnsi="DejaVu Sans" w:eastAsia="Noto Sans CJK SC" w:cs="DejaVu Sans"/>
                <w:b w:val="0"/>
                <w:color w:val="auto"/>
                <w:sz w:val="21"/>
                <w:lang w:val="en-GB" w:eastAsia="zh-CN"/>
              </w:rPr>
              <w:t>2026-10-10</w:t>
            </w:r>
          </w:p>
        </w:tc>
        <w:tc>
          <w:tcPr>
            <w:tcW w:w="3015" w:type="dxa"/>
            <w:vAlign w:val="center"/>
          </w:tcPr>
          <w:p w14:paraId="554C77C8">
            <w:pPr>
              <w:keepNext w:val="0"/>
              <w:spacing w:after="40" w:line="300" w:lineRule="exact"/>
              <w:rPr>
                <w:color w:val="auto"/>
              </w:rPr>
            </w:pPr>
            <w:r>
              <w:rPr>
                <w:rFonts w:ascii="Noto Sans CJK SC" w:hAnsi="Noto Sans CJK SC" w:eastAsia="Noto Sans CJK SC" w:cs="Noto Sans CJK SC"/>
                <w:b w:val="0"/>
                <w:color w:val="auto"/>
                <w:sz w:val="21"/>
                <w:lang w:val="en-GB" w:eastAsia="zh-CN"/>
              </w:rPr>
              <w:t>保管及使用规则</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Custody and use rules</w:t>
            </w:r>
          </w:p>
        </w:tc>
        <w:tc>
          <w:tcPr>
            <w:tcW w:w="1803" w:type="dxa"/>
          </w:tcPr>
          <w:p w14:paraId="190DAE8D">
            <w:pPr>
              <w:rPr>
                <w:color w:val="auto"/>
              </w:rPr>
            </w:pPr>
          </w:p>
        </w:tc>
      </w:tr>
      <w:tr w14:paraId="23C6C519">
        <w:trPr>
          <w:cantSplit/>
          <w:jc w:val="center"/>
        </w:trPr>
        <w:tc>
          <w:tcPr>
            <w:tcW w:w="3592" w:type="dxa"/>
            <w:vAlign w:val="center"/>
          </w:tcPr>
          <w:p w14:paraId="45853511">
            <w:pPr>
              <w:keepNext w:val="0"/>
              <w:spacing w:after="40" w:line="300" w:lineRule="exact"/>
              <w:rPr>
                <w:color w:val="auto"/>
              </w:rPr>
            </w:pPr>
            <w:r>
              <w:rPr>
                <w:rFonts w:ascii="Noto Sans CJK SC" w:hAnsi="Noto Sans CJK SC" w:eastAsia="Noto Sans CJK SC" w:cs="Noto Sans CJK SC"/>
                <w:b w:val="0"/>
                <w:color w:val="auto"/>
                <w:sz w:val="21"/>
                <w:lang w:val="en-GB" w:eastAsia="zh-CN"/>
              </w:rPr>
              <w:t>取消与退款政策</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Cancellation and Refund Policy</w:t>
            </w:r>
          </w:p>
        </w:tc>
        <w:tc>
          <w:tcPr>
            <w:tcW w:w="1789" w:type="dxa"/>
            <w:vAlign w:val="center"/>
          </w:tcPr>
          <w:p w14:paraId="0B4FA5BD">
            <w:pPr>
              <w:keepNext w:val="0"/>
              <w:spacing w:after="40" w:line="300" w:lineRule="exact"/>
              <w:rPr>
                <w:color w:val="auto"/>
              </w:rPr>
            </w:pPr>
            <w:r>
              <w:rPr>
                <w:rFonts w:ascii="DejaVu Sans" w:hAnsi="DejaVu Sans" w:eastAsia="Noto Sans CJK SC" w:cs="DejaVu Sans"/>
                <w:b w:val="0"/>
                <w:color w:val="auto"/>
                <w:sz w:val="21"/>
                <w:lang w:val="en-GB" w:eastAsia="zh-CN"/>
              </w:rPr>
              <w:t>2026-10-10</w:t>
            </w:r>
          </w:p>
        </w:tc>
        <w:tc>
          <w:tcPr>
            <w:tcW w:w="3015" w:type="dxa"/>
            <w:vAlign w:val="center"/>
          </w:tcPr>
          <w:p w14:paraId="2461B985">
            <w:pPr>
              <w:keepNext w:val="0"/>
              <w:spacing w:after="40" w:line="300" w:lineRule="exact"/>
              <w:rPr>
                <w:color w:val="auto"/>
              </w:rPr>
            </w:pPr>
            <w:r>
              <w:rPr>
                <w:rFonts w:ascii="Noto Sans CJK SC" w:hAnsi="Noto Sans CJK SC" w:eastAsia="Noto Sans CJK SC" w:cs="Noto Sans CJK SC"/>
                <w:b w:val="0"/>
                <w:color w:val="auto"/>
                <w:sz w:val="21"/>
                <w:lang w:val="en-GB" w:eastAsia="zh-CN"/>
              </w:rPr>
              <w:t>退款规则及法定例外</w:t>
            </w:r>
            <w:r>
              <w:rPr>
                <w:rFonts w:ascii="Noto Sans CJK SC" w:hAnsi="Noto Sans CJK SC" w:eastAsia="Noto Sans CJK SC" w:cs="Noto Sans CJK SC"/>
                <w:b w:val="0"/>
                <w:color w:val="auto"/>
                <w:sz w:val="21"/>
                <w:lang w:val="en-GB" w:eastAsia="zh-CN"/>
              </w:rPr>
              <w:br w:type="textWrapping"/>
            </w:r>
            <w:r>
              <w:rPr>
                <w:rFonts w:ascii="Noto Sans CJK SC" w:hAnsi="Noto Sans CJK SC" w:eastAsia="Noto Sans CJK SC" w:cs="Noto Sans CJK SC"/>
                <w:b w:val="0"/>
                <w:color w:val="auto"/>
                <w:sz w:val="21"/>
                <w:lang w:val="en-GB" w:eastAsia="zh-CN"/>
              </w:rPr>
              <w:t>Refund rules and statutory exceptions</w:t>
            </w:r>
          </w:p>
        </w:tc>
        <w:tc>
          <w:tcPr>
            <w:tcW w:w="1803" w:type="dxa"/>
          </w:tcPr>
          <w:p w14:paraId="4EE970F8">
            <w:pPr>
              <w:rPr>
                <w:color w:val="auto"/>
              </w:rPr>
            </w:pPr>
          </w:p>
        </w:tc>
      </w:tr>
    </w:tbl>
    <w:p w14:paraId="41E7E3A0">
      <w:pPr>
        <w:pStyle w:val="3"/>
        <w:keepNext/>
        <w:pageBreakBefore/>
        <w:rPr>
          <w:color w:val="auto"/>
        </w:rPr>
      </w:pPr>
      <w:r>
        <w:rPr>
          <w:rFonts w:ascii="Noto Sans CJK SC" w:hAnsi="Noto Sans CJK SC" w:eastAsia="Noto Sans CJK SC" w:cs="Noto Sans CJK SC"/>
          <w:b w:val="0"/>
          <w:color w:val="auto"/>
          <w:lang w:val="en-GB" w:eastAsia="zh-CN"/>
        </w:rPr>
        <w:t>附表 D 签署及独立确认记录</w:t>
      </w:r>
    </w:p>
    <w:p w14:paraId="1238DBE0">
      <w:pPr>
        <w:pStyle w:val="4"/>
        <w:keepNext/>
        <w:spacing w:before="0" w:after="180"/>
        <w:rPr>
          <w:color w:val="auto"/>
        </w:rPr>
      </w:pPr>
      <w:r>
        <w:rPr>
          <w:rFonts w:ascii="DejaVu Sans" w:hAnsi="DejaVu Sans" w:eastAsia="Noto Sans CJK SC" w:cs="DejaVu Sans"/>
          <w:b w:val="0"/>
          <w:color w:val="auto"/>
          <w:lang w:val="en-GB" w:eastAsia="zh-CN"/>
        </w:rPr>
        <w:t>Schedule D Signing and separate acknowledgements</w:t>
      </w:r>
    </w:p>
    <w:p w14:paraId="40A79A60">
      <w:pPr>
        <w:keepNext/>
        <w:spacing w:after="60"/>
        <w:rPr>
          <w:color w:val="auto"/>
        </w:rPr>
      </w:pPr>
      <w:r>
        <w:rPr>
          <w:color w:val="auto"/>
        </w:rPr>
        <w:t>甲方已就付款、尚待确认的开营安排、取消扣费及其例外、未履行服务结算、活动调整、手机保管、保险及争议处理等重大事项向乙方作出合理提示，并按要求作出说明。双方签署的是本协议及签署时已经完成的附表和实际交付文件；尚待后续确定的运营安排，由甲方按第 1.5、1.6、2.4 条办理。本确认不免除甲方的告知、说明或其他法定义务。</w:t>
      </w:r>
    </w:p>
    <w:p w14:paraId="01F32D60">
      <w:pPr>
        <w:keepNext w:val="0"/>
        <w:rPr>
          <w:color w:val="auto"/>
        </w:rPr>
      </w:pPr>
      <w:r>
        <w:rPr>
          <w:rFonts w:ascii="DejaVu Sans" w:hAnsi="DejaVu Sans" w:eastAsia="Noto Sans CJK SC" w:cs="DejaVu Sans"/>
          <w:b w:val="0"/>
          <w:color w:val="auto"/>
          <w:lang w:val="en-GB" w:eastAsia="zh-CN"/>
        </w:rPr>
        <w:t>The Provider has reasonably highlighted payment, pending cohort-operation arrangements, cancellation deductions and exceptions, unperformed-service settlement, activity changes, phone custody, insurance and dispute handling, and explained them on request. The parties sign this Agreement, schedules completed at signing and documents actually supplied; operational matters to be confirmed later follow clauses 1.5, 1.6 and 2.4. This acknowledgement does not remove the Provider’s notice, explanation or other legal duties.</w:t>
      </w:r>
    </w:p>
    <w:p w14:paraId="66DEC570">
      <w:pPr>
        <w:keepNext/>
        <w:spacing w:after="60"/>
        <w:rPr>
          <w:color w:val="auto"/>
        </w:rPr>
      </w:pPr>
      <w:r>
        <w:rPr>
          <w:rFonts w:ascii="Noto Sans CJK SC" w:hAnsi="Noto Sans CJK SC" w:eastAsia="Noto Sans CJK SC" w:cs="Noto Sans CJK SC"/>
          <w:b w:val="0"/>
          <w:color w:val="auto"/>
          <w:lang w:val="en-GB" w:eastAsia="zh-CN"/>
        </w:rPr>
        <w:t>本协议可以采用纸质方式或者符合法律要求的电子方式签署，双方各保留完整文本和签署记录。甲方应使网络勾选、键入姓名或者系统记录与具体文件版本和签署身份绑定；甲方不得仅因存在一个勾选框，即认定已经满足可靠电子签名的条件。</w:t>
      </w:r>
    </w:p>
    <w:p w14:paraId="66DEF04C">
      <w:pPr>
        <w:keepNext w:val="0"/>
        <w:rPr>
          <w:color w:val="auto"/>
        </w:rPr>
      </w:pPr>
      <w:r>
        <w:rPr>
          <w:rFonts w:ascii="DejaVu Sans" w:hAnsi="DejaVu Sans" w:eastAsia="Noto Sans CJK SC" w:cs="DejaVu Sans"/>
          <w:b w:val="0"/>
          <w:color w:val="auto"/>
          <w:lang w:val="en-GB" w:eastAsia="zh-CN"/>
        </w:rPr>
        <w:t>Signing may be on paper or by electronic means meeting legal requirements, with complete texts and signing records retained by each party. The Provider must ensure that online choices, typed names or system records are bound to the specific document version and signing identity. The existence of a checkbox alone does not establish that the conditions for a reliable electronic signature are met.</w:t>
      </w:r>
    </w:p>
    <w:p w14:paraId="1F6445D1">
      <w:pPr>
        <w:pStyle w:val="4"/>
        <w:keepNext/>
        <w:rPr>
          <w:color w:val="auto"/>
        </w:rPr>
      </w:pPr>
      <w:r>
        <w:rPr>
          <w:color w:val="auto"/>
        </w:rPr>
        <w:t>甲方联系人及联系方式　Provider contact for this Agreement　__________________</w:t>
      </w:r>
    </w:p>
    <w:p w14:paraId="7D3665D9">
      <w:pPr>
        <w:pStyle w:val="4"/>
        <w:keepNext/>
        <w:rPr>
          <w:color w:val="auto"/>
        </w:rPr>
      </w:pPr>
      <w:r>
        <w:rPr>
          <w:rFonts w:ascii="Noto Sans CJK SC" w:hAnsi="Noto Sans CJK SC" w:eastAsia="Noto Sans CJK SC" w:cs="Noto Sans CJK SC"/>
          <w:b w:val="0"/>
          <w:color w:val="auto"/>
          <w:lang w:val="en-GB" w:eastAsia="zh-CN"/>
        </w:rPr>
        <w:t>甲方公司签署</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Provider signing</w:t>
      </w:r>
    </w:p>
    <w:p w14:paraId="45F6D838">
      <w:pPr>
        <w:keepNext w:val="0"/>
        <w:rPr>
          <w:color w:val="auto"/>
        </w:rPr>
      </w:pPr>
      <w:r>
        <w:rPr>
          <w:rFonts w:ascii="Noto Sans CJK SC" w:hAnsi="Noto Sans CJK SC" w:eastAsia="Noto Sans CJK SC" w:cs="Noto Sans CJK SC"/>
          <w:b w:val="0"/>
          <w:color w:val="auto"/>
          <w:lang w:val="en-GB" w:eastAsia="zh-CN"/>
        </w:rPr>
        <w:t>海南闪电归来教育科技有限公司</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Hainan Keraunos Education Technology Co., Ltd.</w:t>
      </w:r>
    </w:p>
    <w:p w14:paraId="0225038F">
      <w:pPr>
        <w:keepNext w:val="0"/>
        <w:rPr>
          <w:color w:val="auto"/>
        </w:rPr>
      </w:pPr>
      <w:r>
        <w:rPr>
          <w:rFonts w:ascii="Noto Sans CJK SC" w:hAnsi="Noto Sans CJK SC" w:eastAsia="Noto Sans CJK SC" w:cs="Noto Sans CJK SC"/>
          <w:b w:val="0"/>
          <w:color w:val="auto"/>
          <w:lang w:val="en-GB" w:eastAsia="zh-CN"/>
        </w:rPr>
        <w:t>授权签约代表  Authorised signatory  张艺馨</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职务  Position  法定代表人  Legal Representative</w:t>
      </w:r>
    </w:p>
    <w:p w14:paraId="546ED4FD">
      <w:pPr>
        <w:keepNext/>
        <w:spacing w:before="80"/>
        <w:rPr>
          <w:color w:val="auto"/>
        </w:rPr>
      </w:pPr>
      <w:r>
        <w:rPr>
          <w:rFonts w:ascii="Noto Sans CJK SC" w:hAnsi="Noto Sans CJK SC" w:eastAsia="Noto Sans CJK SC" w:cs="Noto Sans CJK SC"/>
          <w:b/>
          <w:color w:val="auto"/>
          <w:lang w:val="en-GB" w:eastAsia="zh-CN"/>
        </w:rPr>
        <w:t>签署及盖章或有效电子签署  Signature and seal or valid electronic signing</w:t>
      </w:r>
    </w:p>
    <w:p w14:paraId="5D447597">
      <w:pPr>
        <w:keepNext w:val="0"/>
        <w:rPr>
          <w:color w:val="auto"/>
        </w:rPr>
      </w:pPr>
      <w:r>
        <w:rPr>
          <w:rFonts w:ascii="DejaVu Sans" w:hAnsi="DejaVu Sans" w:eastAsia="Noto Sans CJK SC" w:cs="DejaVu Sans"/>
          <w:b w:val="0"/>
          <w:color w:val="auto"/>
          <w:lang w:val="en-GB" w:eastAsia="zh-CN"/>
        </w:rPr>
        <w:br w:type="textWrapping"/>
      </w:r>
      <w:r>
        <w:rPr>
          <w:rFonts w:ascii="DejaVu Sans" w:hAnsi="DejaVu Sans" w:eastAsia="Noto Sans CJK SC" w:cs="DejaVu Sans"/>
          <w:b w:val="0"/>
          <w:color w:val="auto"/>
          <w:lang w:val="en-GB" w:eastAsia="zh-CN"/>
        </w:rPr>
        <w:t>____________________________________________________</w:t>
      </w:r>
      <w:r>
        <w:rPr>
          <w:rFonts w:ascii="DejaVu Sans" w:hAnsi="DejaVu Sans" w:eastAsia="Noto Sans CJK SC" w:cs="DejaVu Sans"/>
          <w:b w:val="0"/>
          <w:color w:val="auto"/>
          <w:lang w:val="en-GB" w:eastAsia="zh-CN"/>
        </w:rPr>
        <w:br w:type="textWrapping"/>
      </w:r>
    </w:p>
    <w:p w14:paraId="276EA33E">
      <w:pPr>
        <w:keepNext/>
        <w:spacing w:before="80"/>
        <w:rPr>
          <w:color w:val="auto"/>
        </w:rPr>
      </w:pPr>
      <w:r>
        <w:rPr>
          <w:rFonts w:ascii="Noto Sans CJK SC" w:hAnsi="Noto Sans CJK SC" w:eastAsia="Noto Sans CJK SC" w:cs="Noto Sans CJK SC"/>
          <w:b/>
          <w:color w:val="auto"/>
          <w:lang w:val="en-GB" w:eastAsia="zh-CN"/>
        </w:rPr>
        <w:t>签署日期及地点  Signing date and place</w:t>
      </w:r>
    </w:p>
    <w:p w14:paraId="6D4605FE">
      <w:pPr>
        <w:keepNext w:val="0"/>
        <w:rPr>
          <w:color w:val="auto"/>
        </w:rPr>
      </w:pPr>
      <w:r>
        <w:rPr>
          <w:rFonts w:ascii="DejaVu Sans" w:hAnsi="DejaVu Sans" w:eastAsia="Noto Sans CJK SC" w:cs="DejaVu Sans"/>
          <w:b w:val="0"/>
          <w:color w:val="auto"/>
          <w:lang w:val="en-GB" w:eastAsia="zh-CN"/>
        </w:rPr>
        <w:t>________________________________________</w:t>
      </w:r>
    </w:p>
    <w:p w14:paraId="3DF7BF9F">
      <w:pPr>
        <w:pStyle w:val="4"/>
        <w:keepNext/>
        <w:rPr>
          <w:color w:val="auto"/>
        </w:rPr>
      </w:pPr>
      <w:r>
        <w:rPr>
          <w:rFonts w:ascii="Noto Sans CJK SC" w:hAnsi="Noto Sans CJK SC" w:eastAsia="Noto Sans CJK SC" w:cs="Noto Sans CJK SC"/>
          <w:b w:val="0"/>
          <w:color w:val="auto"/>
          <w:lang w:val="en-GB" w:eastAsia="zh-CN"/>
        </w:rPr>
        <w:t>乙方成年成员签署</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Adult Member signing</w:t>
      </w:r>
    </w:p>
    <w:p w14:paraId="18FE30A3">
      <w:pPr>
        <w:keepNext/>
        <w:spacing w:before="80"/>
        <w:rPr>
          <w:color w:val="auto"/>
        </w:rPr>
      </w:pPr>
      <w:r>
        <w:rPr>
          <w:rFonts w:ascii="Noto Sans CJK SC" w:hAnsi="Noto Sans CJK SC" w:eastAsia="Noto Sans CJK SC" w:cs="Noto Sans CJK SC"/>
          <w:b/>
          <w:color w:val="auto"/>
          <w:lang w:val="en-GB" w:eastAsia="zh-CN"/>
        </w:rPr>
        <w:t>成员法定姓名及签署  Member legal name and signature</w:t>
      </w:r>
    </w:p>
    <w:p w14:paraId="1E00738A">
      <w:pPr>
        <w:keepNext w:val="0"/>
        <w:rPr>
          <w:color w:val="auto"/>
        </w:rPr>
      </w:pPr>
      <w:r>
        <w:rPr>
          <w:rFonts w:ascii="Noto Sans CJK SC" w:hAnsi="Noto Sans CJK SC" w:eastAsia="Noto Sans CJK SC" w:cs="Noto Sans CJK SC"/>
          <w:b w:val="0"/>
          <w:color w:val="auto"/>
          <w:lang w:val="en-GB" w:eastAsia="zh-CN"/>
        </w:rPr>
        <w:t>仅成年成员填写  Adult Member only</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姓名 Name __________________   签名 Signature __________________</w:t>
      </w:r>
    </w:p>
    <w:p w14:paraId="152BE22D">
      <w:pPr>
        <w:keepNext/>
        <w:spacing w:before="80"/>
        <w:rPr>
          <w:color w:val="auto"/>
        </w:rPr>
      </w:pPr>
      <w:r>
        <w:rPr>
          <w:rFonts w:ascii="Noto Sans CJK SC" w:hAnsi="Noto Sans CJK SC" w:eastAsia="Noto Sans CJK SC" w:cs="Noto Sans CJK SC"/>
          <w:b/>
          <w:color w:val="auto"/>
          <w:lang w:val="en-GB" w:eastAsia="zh-CN"/>
        </w:rPr>
        <w:t>签署日期及地点  Signing date and place</w:t>
      </w:r>
    </w:p>
    <w:p w14:paraId="3A090AE0">
      <w:pPr>
        <w:keepNext w:val="0"/>
        <w:rPr>
          <w:color w:val="auto"/>
        </w:rPr>
      </w:pPr>
      <w:r>
        <w:rPr>
          <w:rFonts w:ascii="DejaVu Sans" w:hAnsi="DejaVu Sans" w:eastAsia="Noto Sans CJK SC" w:cs="DejaVu Sans"/>
          <w:b w:val="0"/>
          <w:color w:val="auto"/>
          <w:lang w:val="en-GB" w:eastAsia="zh-CN"/>
        </w:rPr>
        <w:t>________________________________________</w:t>
      </w:r>
    </w:p>
    <w:p w14:paraId="60B08C69">
      <w:pPr>
        <w:pStyle w:val="4"/>
        <w:keepNext/>
        <w:rPr>
          <w:color w:val="auto"/>
        </w:rPr>
      </w:pPr>
      <w:r>
        <w:rPr>
          <w:rFonts w:ascii="Noto Sans CJK SC" w:hAnsi="Noto Sans CJK SC" w:eastAsia="Noto Sans CJK SC" w:cs="Noto Sans CJK SC"/>
          <w:b w:val="0"/>
          <w:color w:val="auto"/>
          <w:lang w:val="en-GB" w:eastAsia="zh-CN"/>
        </w:rPr>
        <w:t>未成年成员监护人签署</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Guardian signing for a minor</w:t>
      </w:r>
    </w:p>
    <w:p w14:paraId="119B79DD">
      <w:pPr>
        <w:keepNext/>
        <w:spacing w:before="80"/>
        <w:rPr>
          <w:color w:val="auto"/>
        </w:rPr>
      </w:pPr>
      <w:r>
        <w:rPr>
          <w:rFonts w:ascii="Noto Sans CJK SC" w:hAnsi="Noto Sans CJK SC" w:eastAsia="Noto Sans CJK SC" w:cs="Noto Sans CJK SC"/>
          <w:b/>
          <w:color w:val="auto"/>
          <w:lang w:val="en-GB" w:eastAsia="zh-CN"/>
        </w:rPr>
        <w:t>监护人姓名关系及签署  Guardian name relationship and signature</w:t>
      </w:r>
    </w:p>
    <w:p w14:paraId="049624DA">
      <w:pPr>
        <w:keepNext w:val="0"/>
        <w:rPr>
          <w:color w:val="auto"/>
        </w:rPr>
      </w:pPr>
      <w:r>
        <w:rPr>
          <w:rFonts w:ascii="Noto Sans CJK SC" w:hAnsi="Noto Sans CJK SC" w:eastAsia="Noto Sans CJK SC" w:cs="Noto Sans CJK SC"/>
          <w:b w:val="0"/>
          <w:color w:val="auto"/>
          <w:lang w:val="en-GB" w:eastAsia="zh-CN"/>
        </w:rPr>
        <w:t>仅未成年成员适用  For a minor only</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姓名 Name __________________   关系 Relationship __________________</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以法定代理人身份签署  Signature as legal representative __________________</w:t>
      </w:r>
    </w:p>
    <w:p w14:paraId="5F288089">
      <w:pPr>
        <w:keepNext/>
        <w:spacing w:before="80"/>
        <w:rPr>
          <w:color w:val="auto"/>
        </w:rPr>
      </w:pPr>
      <w:r>
        <w:rPr>
          <w:rFonts w:ascii="Noto Sans CJK SC" w:hAnsi="Noto Sans CJK SC" w:eastAsia="Noto Sans CJK SC" w:cs="Noto Sans CJK SC"/>
          <w:b/>
          <w:color w:val="auto"/>
          <w:lang w:val="en-GB" w:eastAsia="zh-CN"/>
        </w:rPr>
        <w:t>监护人签署日期及地点  Guardian signing date and place</w:t>
      </w:r>
    </w:p>
    <w:p w14:paraId="2D50031C">
      <w:pPr>
        <w:keepNext w:val="0"/>
        <w:rPr>
          <w:color w:val="auto"/>
        </w:rPr>
      </w:pPr>
      <w:r>
        <w:rPr>
          <w:rFonts w:ascii="DejaVu Sans" w:hAnsi="DejaVu Sans" w:eastAsia="Noto Sans CJK SC" w:cs="DejaVu Sans"/>
          <w:b w:val="0"/>
          <w:color w:val="auto"/>
          <w:lang w:val="en-GB" w:eastAsia="zh-CN"/>
        </w:rPr>
        <w:t>________________________________________</w:t>
      </w:r>
    </w:p>
    <w:p w14:paraId="7B9BFB44">
      <w:pPr>
        <w:keepNext/>
        <w:spacing w:after="60"/>
        <w:rPr>
          <w:color w:val="auto"/>
        </w:rPr>
      </w:pPr>
      <w:r>
        <w:rPr>
          <w:rFonts w:ascii="Noto Sans CJK SC" w:hAnsi="Noto Sans CJK SC" w:eastAsia="Noto Sans CJK SC" w:cs="Noto Sans CJK SC"/>
          <w:b w:val="0"/>
          <w:color w:val="auto"/>
          <w:lang w:val="en-GB" w:eastAsia="zh-CN"/>
        </w:rPr>
        <w:t>未成年成员本人确认  我愿意参加本项目，并理解向我解释的行为及安全规则。</w:t>
      </w:r>
    </w:p>
    <w:p w14:paraId="5F3D3C16">
      <w:pPr>
        <w:keepNext w:val="0"/>
        <w:rPr>
          <w:color w:val="auto"/>
        </w:rPr>
      </w:pPr>
      <w:r>
        <w:rPr>
          <w:rFonts w:ascii="DejaVu Sans" w:hAnsi="DejaVu Sans" w:eastAsia="Noto Sans CJK SC" w:cs="DejaVu Sans"/>
          <w:b w:val="0"/>
          <w:color w:val="auto"/>
          <w:lang w:val="en-GB" w:eastAsia="zh-CN"/>
        </w:rPr>
        <w:t>Minor Member acknowledgement  I wish to participate and understand the conduct and safety rules explained to me.</w:t>
      </w:r>
    </w:p>
    <w:p w14:paraId="6474C264">
      <w:pPr>
        <w:keepNext/>
        <w:spacing w:before="80"/>
        <w:rPr>
          <w:color w:val="auto"/>
        </w:rPr>
      </w:pPr>
      <w:r>
        <w:rPr>
          <w:rFonts w:ascii="Noto Sans CJK SC" w:hAnsi="Noto Sans CJK SC" w:eastAsia="Noto Sans CJK SC" w:cs="Noto Sans CJK SC"/>
          <w:b/>
          <w:color w:val="auto"/>
          <w:lang w:val="en-GB" w:eastAsia="zh-CN"/>
        </w:rPr>
        <w:t>成员姓名签署及日期  Member name signature and date</w:t>
      </w:r>
    </w:p>
    <w:p w14:paraId="2037AFF9">
      <w:pPr>
        <w:keepNext w:val="0"/>
        <w:rPr>
          <w:color w:val="auto"/>
        </w:rPr>
      </w:pPr>
      <w:r>
        <w:rPr>
          <w:rFonts w:ascii="Noto Sans CJK SC" w:hAnsi="Noto Sans CJK SC" w:eastAsia="Noto Sans CJK SC" w:cs="Noto Sans CJK SC"/>
          <w:b w:val="0"/>
          <w:color w:val="auto"/>
          <w:lang w:val="en-GB" w:eastAsia="zh-CN"/>
        </w:rPr>
        <w:t>姓名 Name __________________   签名 Signature __________________</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日期 Date __________________</w:t>
      </w:r>
    </w:p>
    <w:p w14:paraId="20D9F2E9">
      <w:pPr>
        <w:pStyle w:val="4"/>
        <w:keepNext/>
        <w:pageBreakBefore/>
        <w:rPr>
          <w:color w:val="auto"/>
        </w:rPr>
      </w:pPr>
      <w:r>
        <w:rPr>
          <w:rFonts w:ascii="Noto Sans CJK SC" w:hAnsi="Noto Sans CJK SC" w:eastAsia="Noto Sans CJK SC" w:cs="Noto Sans CJK SC"/>
          <w:b w:val="0"/>
          <w:color w:val="auto"/>
          <w:lang w:val="en-GB" w:eastAsia="zh-CN"/>
        </w:rPr>
        <w:t>保险要求单独确认</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Separate acknowledgement of Insurance Requirements</w:t>
      </w:r>
    </w:p>
    <w:p w14:paraId="2C0B19A9">
      <w:pPr>
        <w:keepNext/>
        <w:spacing w:after="60"/>
        <w:rPr>
          <w:color w:val="auto"/>
        </w:rPr>
      </w:pPr>
      <w:r>
        <w:rPr>
          <w:rFonts w:ascii="Noto Sans CJK SC" w:hAnsi="Noto Sans CJK SC" w:eastAsia="Noto Sans CJK SC" w:cs="Noto Sans CJK SC"/>
          <w:b w:val="0"/>
          <w:color w:val="auto"/>
          <w:lang w:val="en-GB" w:eastAsia="zh-CN"/>
        </w:rPr>
        <w:t>以下确认须由成年成员本人或未成年成员的监护人独立完成；选项保持未选中；本协议的签署不构成该项选择。未成年成员另保留本人书面确认。</w:t>
      </w:r>
    </w:p>
    <w:p w14:paraId="738CC292">
      <w:pPr>
        <w:keepNext w:val="0"/>
        <w:rPr>
          <w:color w:val="auto"/>
        </w:rPr>
      </w:pPr>
      <w:r>
        <w:rPr>
          <w:rFonts w:ascii="DejaVu Sans" w:hAnsi="DejaVu Sans" w:eastAsia="Noto Sans CJK SC" w:cs="DejaVu Sans"/>
          <w:b w:val="0"/>
          <w:color w:val="auto"/>
          <w:lang w:val="en-GB" w:eastAsia="zh-CN"/>
        </w:rPr>
        <w:t>The following acknowledgement is completed separately by the adult Member or minor’s guardian. It remains unselected; the signing of this Agreement does not constitute such a selection. A minor’s own written acknowledgement is retained separately.</w:t>
      </w:r>
    </w:p>
    <w:p w14:paraId="143F6AD6">
      <w:pPr>
        <w:keepNext/>
        <w:spacing w:after="60"/>
        <w:rPr>
          <w:color w:val="auto"/>
        </w:rPr>
      </w:pPr>
      <w:r>
        <w:rPr>
          <w:rFonts w:ascii="Noto Sans CJK SC" w:hAnsi="Noto Sans CJK SC" w:eastAsia="Noto Sans CJK SC" w:cs="Noto Sans CJK SC"/>
          <w:b w:val="0"/>
          <w:color w:val="auto"/>
          <w:lang w:val="en-GB" w:eastAsia="zh-CN"/>
        </w:rPr>
        <w:t>□ 我确认已收到、阅读并理解书面保险要求，包括适用行程类别、最低限额及币种、保障项目和活动承保、保险期间，以及出发前提交材料的期限。未成年成员由我以法定监护人身份作此确认。该确认不表示已经投保或已核验合格。</w:t>
      </w:r>
    </w:p>
    <w:p w14:paraId="05C14EBA">
      <w:pPr>
        <w:keepNext w:val="0"/>
        <w:rPr>
          <w:color w:val="auto"/>
        </w:rPr>
      </w:pPr>
      <w:r>
        <w:rPr>
          <w:rFonts w:ascii="DejaVu Sans" w:hAnsi="DejaVu Sans" w:eastAsia="Noto Sans CJK SC" w:cs="DejaVu Sans"/>
          <w:b w:val="0"/>
          <w:color w:val="auto"/>
          <w:lang w:val="en-GB" w:eastAsia="zh-CN"/>
        </w:rPr>
        <w:t>I confirm receipt, reading and understanding of the written Insurance Requirements, including journey category, minimum limits and currencies, benefits and activity cover, insurance period and the deadline for submitting evidence before departure. For a minor, I acknowledge as legal guardian. This does not confirm purchase or successful review.</w:t>
      </w:r>
    </w:p>
    <w:p w14:paraId="7F3AF1E6">
      <w:pPr>
        <w:keepNext/>
        <w:spacing w:before="80"/>
        <w:rPr>
          <w:color w:val="auto"/>
        </w:rPr>
      </w:pPr>
      <w:r>
        <w:rPr>
          <w:rFonts w:ascii="Noto Sans CJK SC" w:hAnsi="Noto Sans CJK SC" w:eastAsia="Noto Sans CJK SC" w:cs="Noto Sans CJK SC"/>
          <w:b/>
          <w:color w:val="auto"/>
          <w:lang w:val="en-GB" w:eastAsia="zh-CN"/>
        </w:rPr>
        <w:t>保险文件版本及编号  Insurance document version and reference</w:t>
      </w:r>
    </w:p>
    <w:p w14:paraId="547920A9">
      <w:pPr>
        <w:keepNext w:val="0"/>
        <w:rPr>
          <w:color w:val="auto"/>
        </w:rPr>
      </w:pPr>
      <w:r>
        <w:rPr>
          <w:rFonts w:ascii="Noto Sans CJK SC" w:hAnsi="Noto Sans CJK SC" w:eastAsia="Noto Sans CJK SC" w:cs="Noto Sans CJK SC"/>
          <w:b w:val="0"/>
          <w:color w:val="auto"/>
          <w:lang w:val="en-GB" w:eastAsia="zh-CN"/>
        </w:rPr>
        <w:t>版本 Version 2026-10-10</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文件编号 Document reference __________________</w:t>
      </w:r>
    </w:p>
    <w:p w14:paraId="68A420D7">
      <w:pPr>
        <w:keepNext/>
        <w:spacing w:before="80"/>
        <w:rPr>
          <w:color w:val="auto"/>
        </w:rPr>
      </w:pPr>
      <w:r>
        <w:rPr>
          <w:rFonts w:ascii="Noto Sans CJK SC" w:hAnsi="Noto Sans CJK SC" w:eastAsia="Noto Sans CJK SC" w:cs="Noto Sans CJK SC"/>
          <w:b/>
          <w:color w:val="auto"/>
          <w:lang w:val="en-GB" w:eastAsia="zh-CN"/>
        </w:rPr>
        <w:t>确认人法定姓名身份签署及日期  Acknowledging legal name capacity signature and date</w:t>
      </w:r>
    </w:p>
    <w:p w14:paraId="0A4704EF">
      <w:pPr>
        <w:keepNext w:val="0"/>
        <w:rPr>
          <w:color w:val="auto"/>
        </w:rPr>
      </w:pPr>
      <w:r>
        <w:rPr>
          <w:rFonts w:ascii="Noto Sans CJK SC" w:hAnsi="Noto Sans CJK SC" w:eastAsia="Noto Sans CJK SC" w:cs="Noto Sans CJK SC"/>
          <w:b w:val="0"/>
          <w:color w:val="auto"/>
          <w:lang w:val="en-GB" w:eastAsia="zh-CN"/>
        </w:rPr>
        <w:t>姓名 Name __________________   身份 Capacity __________________</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签署 Signature __________________   日期 Date __________________</w:t>
      </w:r>
    </w:p>
    <w:p w14:paraId="19367A1B">
      <w:pPr>
        <w:pStyle w:val="4"/>
        <w:keepNext/>
        <w:pageBreakBefore/>
        <w:rPr>
          <w:color w:val="auto"/>
        </w:rPr>
      </w:pPr>
      <w:r>
        <w:rPr>
          <w:rFonts w:ascii="Noto Sans CJK SC" w:hAnsi="Noto Sans CJK SC" w:eastAsia="Noto Sans CJK SC" w:cs="Noto Sans CJK SC"/>
          <w:b w:val="0"/>
          <w:color w:val="auto"/>
          <w:lang w:val="en-GB" w:eastAsia="zh-CN"/>
        </w:rPr>
        <w:t>其他单独授权文件办理记录</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Completion records for other Separate Authorisation Documents</w:t>
      </w:r>
    </w:p>
    <w:p w14:paraId="0A40F78F">
      <w:pPr>
        <w:keepNext/>
        <w:spacing w:after="60"/>
        <w:rPr>
          <w:color w:val="auto"/>
        </w:rPr>
      </w:pPr>
      <w:r>
        <w:rPr>
          <w:rFonts w:ascii="Noto Sans CJK SC" w:hAnsi="Noto Sans CJK SC" w:eastAsia="Noto Sans CJK SC" w:cs="Noto Sans CJK SC"/>
          <w:b w:val="0"/>
          <w:color w:val="auto"/>
          <w:lang w:val="en-GB" w:eastAsia="zh-CN"/>
        </w:rPr>
        <w:t>项目摄影和宣传媒体分别选择同意或拒绝，不作预先选定，也不与其他事项合并；本页仅记录对应单独授权文件的编号，不构成实际选择。健康、定位、对外提供及跨境处理等所需的告知和单独同意，由甲方在相应处理前另行办理。</w:t>
      </w:r>
    </w:p>
    <w:p w14:paraId="08CAB0E3">
      <w:pPr>
        <w:keepNext w:val="0"/>
        <w:rPr>
          <w:color w:val="auto"/>
        </w:rPr>
      </w:pPr>
      <w:r>
        <w:rPr>
          <w:rFonts w:ascii="DejaVu Sans" w:hAnsi="DejaVu Sans" w:eastAsia="Noto Sans CJK SC" w:cs="DejaVu Sans"/>
          <w:b w:val="0"/>
          <w:color w:val="auto"/>
          <w:lang w:val="en-GB" w:eastAsia="zh-CN"/>
        </w:rPr>
        <w:t>Programme photography and promotional media each receive an independent agree or decline choice, without preselection or bundling. This page records the references of the corresponding Separate Authorisation Documents only and does not constitute an actual selection. Required notices and separate consents for health, location, disclosure and cross-border processing are completed separately before the relevant processing.</w:t>
      </w:r>
    </w:p>
    <w:p w14:paraId="15C868D2">
      <w:pPr>
        <w:keepNext/>
        <w:spacing w:before="80"/>
        <w:rPr>
          <w:color w:val="auto"/>
        </w:rPr>
      </w:pPr>
      <w:r>
        <w:rPr>
          <w:rFonts w:ascii="Noto Sans CJK SC" w:hAnsi="Noto Sans CJK SC" w:eastAsia="Noto Sans CJK SC" w:cs="Noto Sans CJK SC"/>
          <w:b/>
          <w:color w:val="auto"/>
          <w:lang w:val="en-GB" w:eastAsia="zh-CN"/>
        </w:rPr>
        <w:t>项目摄影选择记录编号及日期  Programme photography choice reference and date</w:t>
      </w:r>
    </w:p>
    <w:p w14:paraId="756F81EF">
      <w:pPr>
        <w:keepNext w:val="0"/>
        <w:rPr>
          <w:color w:val="auto"/>
        </w:rPr>
      </w:pPr>
      <w:r>
        <w:rPr>
          <w:rFonts w:ascii="DejaVu Sans" w:hAnsi="DejaVu Sans" w:eastAsia="Noto Sans CJK SC" w:cs="DejaVu Sans"/>
          <w:b w:val="0"/>
          <w:color w:val="auto"/>
          <w:lang w:val="en-GB" w:eastAsia="zh-CN"/>
        </w:rPr>
        <w:t>________________________________________</w:t>
      </w:r>
    </w:p>
    <w:p w14:paraId="3C28E25F">
      <w:pPr>
        <w:keepNext/>
        <w:spacing w:before="80"/>
        <w:rPr>
          <w:color w:val="auto"/>
        </w:rPr>
      </w:pPr>
      <w:r>
        <w:rPr>
          <w:rFonts w:ascii="Noto Sans CJK SC" w:hAnsi="Noto Sans CJK SC" w:eastAsia="Noto Sans CJK SC" w:cs="Noto Sans CJK SC"/>
          <w:b/>
          <w:color w:val="auto"/>
          <w:lang w:val="en-GB" w:eastAsia="zh-CN"/>
        </w:rPr>
        <w:t>宣传媒体选择记录编号及日期  Promotional media choice reference and date</w:t>
      </w:r>
    </w:p>
    <w:p w14:paraId="3C63B598">
      <w:pPr>
        <w:keepNext w:val="0"/>
        <w:rPr>
          <w:color w:val="auto"/>
        </w:rPr>
      </w:pPr>
      <w:r>
        <w:rPr>
          <w:rFonts w:ascii="DejaVu Sans" w:hAnsi="DejaVu Sans" w:eastAsia="Noto Sans CJK SC" w:cs="DejaVu Sans"/>
          <w:b w:val="0"/>
          <w:color w:val="auto"/>
          <w:lang w:val="en-GB" w:eastAsia="zh-CN"/>
        </w:rPr>
        <w:t>________________________________________</w:t>
      </w:r>
    </w:p>
    <w:p w14:paraId="7FC0C0A5">
      <w:pPr>
        <w:keepNext/>
        <w:spacing w:before="80"/>
        <w:rPr>
          <w:color w:val="auto"/>
        </w:rPr>
      </w:pPr>
      <w:r>
        <w:rPr>
          <w:rFonts w:ascii="Noto Sans CJK SC" w:hAnsi="Noto Sans CJK SC" w:eastAsia="Noto Sans CJK SC" w:cs="Noto Sans CJK SC"/>
          <w:b/>
          <w:color w:val="auto"/>
          <w:lang w:val="en-GB" w:eastAsia="zh-CN"/>
        </w:rPr>
        <w:t>敏感信息定位及其他手续记录编号  Sensitive information location and other completion references</w:t>
      </w:r>
    </w:p>
    <w:p w14:paraId="11FBE4BA">
      <w:pPr>
        <w:keepNext w:val="0"/>
        <w:rPr>
          <w:color w:val="auto"/>
        </w:rPr>
      </w:pPr>
      <w:r>
        <w:rPr>
          <w:rFonts w:ascii="Noto Sans CJK SC" w:hAnsi="Noto Sans CJK SC" w:eastAsia="Noto Sans CJK SC" w:cs="Noto Sans CJK SC"/>
          <w:b w:val="0"/>
          <w:color w:val="auto"/>
          <w:lang w:val="en-GB" w:eastAsia="zh-CN"/>
        </w:rPr>
        <w:t>依法需要时在处理前办理  Complete before processing where legally required  __________________</w:t>
      </w:r>
    </w:p>
    <w:p w14:paraId="437CD163">
      <w:pPr>
        <w:keepNext/>
        <w:spacing w:before="80"/>
        <w:rPr>
          <w:color w:val="auto"/>
        </w:rPr>
      </w:pPr>
      <w:r>
        <w:rPr>
          <w:rFonts w:ascii="Noto Sans CJK SC" w:hAnsi="Noto Sans CJK SC" w:eastAsia="Noto Sans CJK SC" w:cs="Noto Sans CJK SC"/>
          <w:b/>
          <w:color w:val="auto"/>
          <w:lang w:val="en-GB" w:eastAsia="zh-CN"/>
        </w:rPr>
        <w:t>本协议版本及所附文件清单确认  This Agreement version and attachment register confirmation</w:t>
      </w:r>
    </w:p>
    <w:p w14:paraId="13E31C79">
      <w:pPr>
        <w:keepNext w:val="0"/>
        <w:rPr>
          <w:color w:val="auto"/>
        </w:rPr>
      </w:pPr>
      <w:r>
        <w:rPr>
          <w:rFonts w:ascii="Noto Sans CJK SC" w:hAnsi="Noto Sans CJK SC" w:eastAsia="Noto Sans CJK SC" w:cs="Noto Sans CJK SC"/>
          <w:b w:val="0"/>
          <w:color w:val="auto"/>
          <w:lang w:val="en-GB" w:eastAsia="zh-CN"/>
        </w:rPr>
        <w:t>本协议 This Agreement v0.3</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签署时完成的附表及交付文件编号  Completed schedules and supplied document references  __________________</w:t>
      </w:r>
    </w:p>
    <w:p w14:paraId="6126EF70">
      <w:pPr>
        <w:keepNext/>
        <w:spacing w:before="80"/>
        <w:rPr>
          <w:color w:val="auto"/>
        </w:rPr>
      </w:pPr>
      <w:r>
        <w:rPr>
          <w:rFonts w:ascii="Noto Sans CJK SC" w:hAnsi="Noto Sans CJK SC" w:eastAsia="Noto Sans CJK SC" w:cs="Noto Sans CJK SC"/>
          <w:b/>
          <w:color w:val="auto"/>
          <w:lang w:val="en-GB" w:eastAsia="zh-CN"/>
        </w:rPr>
        <w:t>实际交付日期及文件编号  Actual delivery dates and document references</w:t>
      </w:r>
    </w:p>
    <w:p w14:paraId="518990B1">
      <w:pPr>
        <w:keepNext w:val="0"/>
        <w:rPr>
          <w:color w:val="auto"/>
        </w:rPr>
      </w:pPr>
      <w:r>
        <w:rPr>
          <w:rFonts w:ascii="Noto Sans CJK SC" w:hAnsi="Noto Sans CJK SC" w:eastAsia="Noto Sans CJK SC" w:cs="Noto Sans CJK SC"/>
          <w:b w:val="0"/>
          <w:color w:val="auto"/>
          <w:lang w:val="en-GB" w:eastAsia="zh-CN"/>
        </w:rPr>
        <w:t>录取时交付的合同及保险退款文件  Contract insurance and refund documents at offer  __________________</w:t>
      </w:r>
      <w:r>
        <w:rPr>
          <w:rFonts w:ascii="Noto Sans CJK SC" w:hAnsi="Noto Sans CJK SC" w:eastAsia="Noto Sans CJK SC" w:cs="Noto Sans CJK SC"/>
          <w:b w:val="0"/>
          <w:color w:val="auto"/>
          <w:lang w:val="en-GB" w:eastAsia="zh-CN"/>
        </w:rPr>
        <w:br w:type="textWrapping"/>
      </w:r>
      <w:r>
        <w:rPr>
          <w:rFonts w:ascii="Noto Sans CJK SC" w:hAnsi="Noto Sans CJK SC" w:eastAsia="Noto Sans CJK SC" w:cs="Noto Sans CJK SC"/>
          <w:b w:val="0"/>
          <w:color w:val="auto"/>
          <w:lang w:val="en-GB" w:eastAsia="zh-CN"/>
        </w:rPr>
        <w:t>后续行为、隐私及单独授权文件  Subsequent conduct, privacy and Separate Authorisation Documents  __________________</w:t>
      </w:r>
    </w:p>
    <w:p w14:paraId="163B5DA5">
      <w:pPr>
        <w:keepNext/>
        <w:spacing w:before="80"/>
        <w:rPr>
          <w:color w:val="auto"/>
        </w:rPr>
      </w:pPr>
      <w:r>
        <w:rPr>
          <w:rFonts w:ascii="Noto Sans CJK SC" w:hAnsi="Noto Sans CJK SC" w:eastAsia="Noto Sans CJK SC" w:cs="Noto Sans CJK SC"/>
          <w:b/>
          <w:color w:val="auto"/>
          <w:lang w:val="en-GB" w:eastAsia="zh-CN"/>
        </w:rPr>
        <w:t>额外服务方文件或书面补充  Additional provider documents or supplements</w:t>
      </w:r>
    </w:p>
    <w:p w14:paraId="02E7AC57">
      <w:pPr>
        <w:keepNext w:val="0"/>
        <w:rPr>
          <w:color w:val="auto"/>
        </w:rPr>
      </w:pPr>
      <w:r>
        <w:rPr>
          <w:rFonts w:ascii="Noto Sans CJK SC" w:hAnsi="Noto Sans CJK SC" w:eastAsia="Noto Sans CJK SC" w:cs="Noto Sans CJK SC"/>
          <w:b w:val="0"/>
          <w:color w:val="auto"/>
          <w:lang w:val="en-GB" w:eastAsia="zh-CN"/>
        </w:rPr>
        <w:t>无或列明编号版本及交付日期  None or list reference version and supply date  __________________</w:t>
      </w:r>
    </w:p>
    <w:sectPr>
      <w:footerReference r:id="rId5" w:type="default"/>
      <w:pgSz w:w="12240" w:h="15840"/>
      <w:pgMar w:top="1037" w:right="1123" w:bottom="1037" w:left="1123" w:header="432" w:footer="43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Noto Sans">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Noto Sans CJK SC">
    <w:altName w:val="苹方-简"/>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Hiragino Sans">
    <w:panose1 w:val="020B0300000000000000"/>
    <w:charset w:val="80"/>
    <w:family w:val="auto"/>
    <w:pitch w:val="default"/>
    <w:sig w:usb0="E00002FF" w:usb1="7AE7FFFF" w:usb2="00000012" w:usb3="00000000" w:csb0="0002000D"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80"/>
    <w:family w:val="roman"/>
    <w:pitch w:val="default"/>
    <w:sig w:usb0="00000000" w:usb1="00000000" w:usb2="00000010" w:usb3="00000000" w:csb0="00020000" w:csb1="00000000"/>
  </w:font>
  <w:font w:name="Kingsoft Sign">
    <w:panose1 w:val="05050102010706020507"/>
    <w:charset w:val="00"/>
    <w:family w:val="auto"/>
    <w:pitch w:val="default"/>
    <w:sig w:usb0="00000000" w:usb1="10000000" w:usb2="00000000" w:usb3="00000000" w:csb0="00000001" w:csb1="00000000"/>
  </w:font>
  <w:font w:name="Cambria">
    <w:altName w:val="苹方-简"/>
    <w:panose1 w:val="02040503050406030204"/>
    <w:charset w:val="00"/>
    <w:family w:val="auto"/>
    <w:pitch w:val="default"/>
    <w:sig w:usb0="00000000" w:usb1="00000000" w:usb2="00000000" w:usb3="00000000" w:csb0="0000019F" w:csb1="00000000"/>
  </w:font>
  <w:font w:name="DejaVu Sans">
    <w:altName w:val="苹方-简"/>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ＭＳ ゴシック">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ＭＳ 明朝">
    <w:altName w:val="Hiragino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54DF1">
    <w:pPr>
      <w:pStyle w:val="24"/>
      <w:spacing w:after="0"/>
      <w:jc w:val="right"/>
    </w:pPr>
    <w:r>
      <w:rPr>
        <w:rFonts w:ascii="Noto Sans CJK SC" w:hAnsi="Noto Sans CJK SC" w:eastAsia="Noto Sans CJK SC" w:cs="Noto Sans CJK SC"/>
        <w:color w:val="auto"/>
        <w:sz w:val="18"/>
        <w:lang w:val="en-GB" w:eastAsia="zh-CN"/>
      </w:rPr>
      <w:t xml:space="preserve">玉榕社  Jade Banyan  v0.3 </w:t>
    </w:r>
    <w:r>
      <w:rPr>
        <w:rFonts w:ascii="Noto Sans CJK SC" w:hAnsi="Noto Sans CJK SC" w:eastAsia="Noto Sans CJK SC" w:cs="Noto Sans CJK SC"/>
        <w:color w:val="FF0000"/>
        <w:sz w:val="18"/>
        <w:lang w:val="en-GB"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797E25C"/>
    <w:rsid w:val="2B7F9E5A"/>
    <w:rsid w:val="356731D7"/>
    <w:rsid w:val="3BAEF931"/>
    <w:rsid w:val="3BBEAF79"/>
    <w:rsid w:val="3BF51A4F"/>
    <w:rsid w:val="3FE79DC2"/>
    <w:rsid w:val="5DFAC773"/>
    <w:rsid w:val="647F1D17"/>
    <w:rsid w:val="77F5E885"/>
    <w:rsid w:val="79FFC536"/>
    <w:rsid w:val="7ED773FA"/>
    <w:rsid w:val="7EFFCCDB"/>
    <w:rsid w:val="8F7EAFFB"/>
    <w:rsid w:val="AFDF04C7"/>
    <w:rsid w:val="BBFFDEAB"/>
    <w:rsid w:val="BD971196"/>
    <w:rsid w:val="BECDA00C"/>
    <w:rsid w:val="D3FB1246"/>
    <w:rsid w:val="DFB53964"/>
    <w:rsid w:val="EFEE258A"/>
    <w:rsid w:val="F6AB5791"/>
    <w:rsid w:val="FDEF44E7"/>
    <w:rsid w:val="FDFFB152"/>
    <w:rsid w:val="FEDEA9EF"/>
    <w:rsid w:val="FFFFB1A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pacing w:after="100" w:line="330" w:lineRule="exact"/>
    </w:pPr>
    <w:rPr>
      <w:rFonts w:ascii="Noto Sans" w:hAnsi="Noto Sans" w:eastAsia="Noto Sans CJK SC" w:cstheme="minorBidi"/>
      <w:color w:val="000000"/>
      <w:sz w:val="22"/>
      <w:szCs w:val="22"/>
      <w:lang w:val="en-US" w:eastAsia="en-US" w:bidi="ar-SA"/>
    </w:rPr>
  </w:style>
  <w:style w:type="paragraph" w:styleId="3">
    <w:name w:val="heading 1"/>
    <w:basedOn w:val="1"/>
    <w:next w:val="1"/>
    <w:link w:val="138"/>
    <w:qFormat/>
    <w:uiPriority w:val="9"/>
    <w:pPr>
      <w:keepNext/>
      <w:keepLines/>
      <w:widowControl/>
      <w:spacing w:before="300" w:after="100" w:line="264" w:lineRule="auto"/>
      <w:outlineLvl w:val="0"/>
    </w:pPr>
    <w:rPr>
      <w:rFonts w:ascii="Noto Sans" w:hAnsi="Noto Sans" w:eastAsia="Noto Sans CJK SC"/>
      <w:b/>
      <w:bCs/>
      <w:color w:val="000000"/>
      <w:sz w:val="28"/>
      <w:szCs w:val="28"/>
    </w:rPr>
  </w:style>
  <w:style w:type="paragraph" w:styleId="4">
    <w:name w:val="heading 2"/>
    <w:basedOn w:val="1"/>
    <w:next w:val="1"/>
    <w:link w:val="139"/>
    <w:unhideWhenUsed/>
    <w:qFormat/>
    <w:uiPriority w:val="9"/>
    <w:pPr>
      <w:keepNext/>
      <w:keepLines/>
      <w:widowControl/>
      <w:spacing w:before="180" w:after="100" w:line="264" w:lineRule="auto"/>
      <w:outlineLvl w:val="1"/>
    </w:pPr>
    <w:rPr>
      <w:rFonts w:ascii="Noto Sans" w:hAnsi="Noto Sans" w:eastAsia="Noto Sans CJK SC"/>
      <w:b/>
      <w:bCs/>
      <w:color w:val="000000"/>
      <w:sz w:val="23"/>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pPr>
      <w:widowControl/>
      <w:spacing w:after="100" w:line="264" w:lineRule="auto"/>
    </w:pPr>
    <w:rPr>
      <w:rFonts w:ascii="Noto Sans" w:hAnsi="Noto Sans" w:eastAsia="Noto Sans CJK SC"/>
      <w:iCs/>
      <w:color w:val="000000"/>
      <w:spacing w:val="15"/>
      <w:sz w:val="26"/>
      <w:szCs w:val="24"/>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widowControl/>
      <w:spacing w:after="100" w:line="264" w:lineRule="auto"/>
      <w:contextualSpacing/>
    </w:pPr>
    <w:rPr>
      <w:rFonts w:ascii="Noto Sans" w:hAnsi="Noto Sans" w:eastAsia="Noto Sans CJK SC"/>
      <w:color w:val="000000"/>
      <w:spacing w:val="5"/>
      <w:kern w:val="28"/>
      <w:sz w:val="4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0</Words>
  <Characters>0</Characters>
  <Lines>0</Lines>
  <Paragraphs>0</Paragraphs>
  <TotalTime>0</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2013-12-29T15:15:00Z</dcterms:created>
  <dc:creator>The Jade Banyan Society</dc:creator>
  <cp:lastModifiedBy>ap</cp:lastModifiedBy>
  <dcterms:modified xsi:type="dcterms:W3CDTF">2026-10-12T12:43:42Z</dcterms:modified>
  <dc:subject>Bilingual programme participation agreement</dc:subject>
  <dc:title>玉榕社项目参与及服务协议</dc:title>
  <cp:revision>1</cp:revision>
  <cp:version>0.2</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C0F131AF7CF8FF7EA4A5CB6AB0ADB350_42</vt:lpwstr>
  </property>
</Properties>
</file>